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785" w:rsidRPr="00B23DEB" w:rsidRDefault="00C64785" w:rsidP="00B23DEB">
      <w:pPr>
        <w:pStyle w:val="ECHRDecisionBody"/>
        <w:jc w:val="center"/>
      </w:pPr>
    </w:p>
    <w:p w:rsidR="00181422" w:rsidRPr="00B23DEB" w:rsidRDefault="00181422" w:rsidP="00B23DEB">
      <w:pPr>
        <w:pStyle w:val="ECHRDecisionBody"/>
        <w:jc w:val="center"/>
      </w:pPr>
    </w:p>
    <w:p w:rsidR="00181422" w:rsidRPr="00B23DEB" w:rsidRDefault="00181422" w:rsidP="00B23DEB">
      <w:pPr>
        <w:pStyle w:val="ECHRDecisionBody"/>
        <w:jc w:val="center"/>
      </w:pPr>
    </w:p>
    <w:p w:rsidR="00C64785" w:rsidRPr="00B23DEB" w:rsidRDefault="00E941D8" w:rsidP="00B23DEB">
      <w:pPr>
        <w:jc w:val="center"/>
      </w:pPr>
      <w:r w:rsidRPr="00B23DEB">
        <w:t>FIRST SECTION</w:t>
      </w:r>
    </w:p>
    <w:p w:rsidR="00C64785" w:rsidRPr="00B23DEB" w:rsidRDefault="00C64785" w:rsidP="00B23DEB">
      <w:pPr>
        <w:jc w:val="center"/>
      </w:pPr>
    </w:p>
    <w:p w:rsidR="00181422" w:rsidRPr="00B23DEB" w:rsidRDefault="00181422" w:rsidP="00B23DEB">
      <w:pPr>
        <w:jc w:val="center"/>
      </w:pPr>
    </w:p>
    <w:p w:rsidR="00A60113" w:rsidRPr="00B23DEB" w:rsidRDefault="00A60113" w:rsidP="00B23DEB">
      <w:pPr>
        <w:jc w:val="center"/>
      </w:pPr>
    </w:p>
    <w:p w:rsidR="00181422" w:rsidRPr="00B23DEB" w:rsidRDefault="00181422" w:rsidP="00B23DEB">
      <w:pPr>
        <w:jc w:val="center"/>
      </w:pPr>
    </w:p>
    <w:p w:rsidR="00181422" w:rsidRPr="00B23DEB" w:rsidRDefault="00181422" w:rsidP="00B23DEB">
      <w:pPr>
        <w:jc w:val="center"/>
      </w:pPr>
    </w:p>
    <w:p w:rsidR="00A60113" w:rsidRPr="00B23DEB" w:rsidRDefault="00A60113" w:rsidP="00B23DEB">
      <w:pPr>
        <w:jc w:val="center"/>
      </w:pPr>
    </w:p>
    <w:p w:rsidR="00181422" w:rsidRPr="00B23DEB" w:rsidRDefault="00181422" w:rsidP="00B23DEB">
      <w:pPr>
        <w:jc w:val="center"/>
      </w:pPr>
    </w:p>
    <w:p w:rsidR="00181422" w:rsidRPr="00B23DEB" w:rsidRDefault="00181422" w:rsidP="00B23DEB">
      <w:pPr>
        <w:jc w:val="center"/>
      </w:pPr>
    </w:p>
    <w:p w:rsidR="00C64785" w:rsidRPr="00B23DEB" w:rsidRDefault="00642C37" w:rsidP="00B23DEB">
      <w:pPr>
        <w:jc w:val="center"/>
        <w:rPr>
          <w:b/>
        </w:rPr>
      </w:pPr>
      <w:bookmarkStart w:id="0" w:name="To"/>
      <w:r w:rsidRPr="00B23DEB">
        <w:rPr>
          <w:b/>
        </w:rPr>
        <w:t xml:space="preserve">CASE OF </w:t>
      </w:r>
      <w:bookmarkEnd w:id="0"/>
      <w:r w:rsidR="00E941D8" w:rsidRPr="00B23DEB">
        <w:rPr>
          <w:b/>
        </w:rPr>
        <w:t xml:space="preserve">SOLSKA </w:t>
      </w:r>
      <w:r w:rsidR="00FB1B48" w:rsidRPr="00B23DEB">
        <w:rPr>
          <w:b/>
        </w:rPr>
        <w:t xml:space="preserve">AND RYBICKA </w:t>
      </w:r>
      <w:r w:rsidR="00E941D8" w:rsidRPr="00B23DEB">
        <w:rPr>
          <w:b/>
        </w:rPr>
        <w:t>v. POLAND</w:t>
      </w:r>
    </w:p>
    <w:p w:rsidR="00C64785" w:rsidRPr="00B23DEB" w:rsidRDefault="00C64785" w:rsidP="00B23DEB">
      <w:pPr>
        <w:jc w:val="center"/>
      </w:pPr>
    </w:p>
    <w:p w:rsidR="00C64785" w:rsidRPr="00B23DEB" w:rsidRDefault="00642C37" w:rsidP="00B23DEB">
      <w:pPr>
        <w:jc w:val="center"/>
        <w:rPr>
          <w:i/>
        </w:rPr>
      </w:pPr>
      <w:r w:rsidRPr="00B23DEB">
        <w:rPr>
          <w:i/>
        </w:rPr>
        <w:t>(</w:t>
      </w:r>
      <w:r w:rsidR="00E941D8" w:rsidRPr="00B23DEB">
        <w:rPr>
          <w:i/>
        </w:rPr>
        <w:t xml:space="preserve">Applications nos. 30491/17 and </w:t>
      </w:r>
      <w:r w:rsidR="00FB1B48" w:rsidRPr="00B23DEB">
        <w:rPr>
          <w:i/>
        </w:rPr>
        <w:t>31083/17</w:t>
      </w:r>
      <w:r w:rsidRPr="00B23DEB">
        <w:rPr>
          <w:i/>
        </w:rPr>
        <w:t>)</w:t>
      </w:r>
    </w:p>
    <w:p w:rsidR="00C64785" w:rsidRPr="00B23DEB" w:rsidRDefault="00C64785" w:rsidP="00B23DEB">
      <w:pPr>
        <w:jc w:val="center"/>
      </w:pPr>
    </w:p>
    <w:p w:rsidR="00C64785" w:rsidRPr="00B23DEB" w:rsidRDefault="00C64785" w:rsidP="00B23DEB">
      <w:pPr>
        <w:jc w:val="center"/>
      </w:pPr>
    </w:p>
    <w:p w:rsidR="00C64785" w:rsidRPr="00B23DEB" w:rsidRDefault="00C64785" w:rsidP="00B23DEB">
      <w:pPr>
        <w:jc w:val="center"/>
      </w:pPr>
    </w:p>
    <w:p w:rsidR="00C64785" w:rsidRPr="00B23DEB" w:rsidRDefault="00C64785" w:rsidP="00B23DEB">
      <w:pPr>
        <w:jc w:val="center"/>
      </w:pPr>
    </w:p>
    <w:p w:rsidR="00C64785" w:rsidRPr="00B23DEB" w:rsidRDefault="00C64785" w:rsidP="00B23DEB">
      <w:pPr>
        <w:jc w:val="center"/>
      </w:pPr>
    </w:p>
    <w:p w:rsidR="002669E9" w:rsidRPr="00B23DEB" w:rsidRDefault="002669E9" w:rsidP="00B23DEB">
      <w:pPr>
        <w:jc w:val="center"/>
      </w:pPr>
    </w:p>
    <w:p w:rsidR="002669E9" w:rsidRPr="00B23DEB" w:rsidRDefault="002669E9" w:rsidP="00B23DEB">
      <w:pPr>
        <w:jc w:val="center"/>
      </w:pPr>
    </w:p>
    <w:p w:rsidR="002669E9" w:rsidRPr="00B23DEB" w:rsidRDefault="002669E9" w:rsidP="00B23DEB">
      <w:pPr>
        <w:jc w:val="center"/>
      </w:pPr>
    </w:p>
    <w:p w:rsidR="00C64785" w:rsidRPr="00B23DEB" w:rsidRDefault="00181422" w:rsidP="00B23DEB">
      <w:pPr>
        <w:jc w:val="center"/>
        <w:rPr>
          <w:szCs w:val="24"/>
        </w:rPr>
      </w:pPr>
      <w:r w:rsidRPr="00B23DEB">
        <w:rPr>
          <w:szCs w:val="24"/>
        </w:rPr>
        <w:t>JUDGMENT</w:t>
      </w:r>
    </w:p>
    <w:p w:rsidR="00C64785" w:rsidRPr="00B23DEB" w:rsidRDefault="00C64785" w:rsidP="00B23DEB">
      <w:pPr>
        <w:jc w:val="center"/>
        <w:rPr>
          <w:szCs w:val="24"/>
        </w:rPr>
      </w:pPr>
    </w:p>
    <w:p w:rsidR="000E23A6" w:rsidRPr="00B23DEB" w:rsidRDefault="000E23A6" w:rsidP="00B23DEB">
      <w:pPr>
        <w:jc w:val="center"/>
        <w:rPr>
          <w:szCs w:val="24"/>
          <w:lang w:val="en-US"/>
        </w:rPr>
      </w:pPr>
    </w:p>
    <w:p w:rsidR="00A60113" w:rsidRPr="00B23DEB" w:rsidRDefault="00A60113" w:rsidP="00B23DEB">
      <w:pPr>
        <w:jc w:val="center"/>
        <w:rPr>
          <w:szCs w:val="24"/>
          <w:lang w:val="en-US"/>
        </w:rPr>
      </w:pPr>
    </w:p>
    <w:p w:rsidR="00A60113" w:rsidRPr="00B23DEB" w:rsidRDefault="00A60113" w:rsidP="00B23DEB">
      <w:pPr>
        <w:jc w:val="center"/>
        <w:rPr>
          <w:szCs w:val="24"/>
          <w:lang w:val="en-US"/>
        </w:rPr>
      </w:pPr>
    </w:p>
    <w:p w:rsidR="00181422" w:rsidRPr="00B23DEB" w:rsidRDefault="00181422" w:rsidP="00B23DEB">
      <w:pPr>
        <w:pStyle w:val="JuCase"/>
        <w:ind w:firstLine="0"/>
        <w:jc w:val="center"/>
        <w:rPr>
          <w:b w:val="0"/>
        </w:rPr>
      </w:pPr>
    </w:p>
    <w:p w:rsidR="00181422" w:rsidRPr="00B23DEB" w:rsidRDefault="00181422" w:rsidP="00B23DEB">
      <w:pPr>
        <w:pStyle w:val="JuCase"/>
        <w:ind w:firstLine="0"/>
        <w:jc w:val="center"/>
        <w:rPr>
          <w:b w:val="0"/>
        </w:rPr>
      </w:pPr>
    </w:p>
    <w:p w:rsidR="00181422" w:rsidRPr="00B23DEB" w:rsidRDefault="00181422" w:rsidP="00B23DEB">
      <w:pPr>
        <w:pStyle w:val="JuCase"/>
        <w:ind w:firstLine="0"/>
        <w:jc w:val="center"/>
        <w:rPr>
          <w:b w:val="0"/>
        </w:rPr>
      </w:pPr>
      <w:r w:rsidRPr="00B23DEB">
        <w:rPr>
          <w:b w:val="0"/>
        </w:rPr>
        <w:t>STRASBOURG</w:t>
      </w:r>
    </w:p>
    <w:p w:rsidR="00181422" w:rsidRPr="00B23DEB" w:rsidRDefault="00181422" w:rsidP="00B23DEB">
      <w:pPr>
        <w:pStyle w:val="JuCase"/>
        <w:ind w:firstLine="0"/>
        <w:jc w:val="center"/>
        <w:rPr>
          <w:b w:val="0"/>
        </w:rPr>
      </w:pPr>
    </w:p>
    <w:p w:rsidR="00181422" w:rsidRPr="00B23DEB" w:rsidRDefault="00181422" w:rsidP="00B23DEB">
      <w:pPr>
        <w:pStyle w:val="JuCase"/>
        <w:ind w:firstLine="0"/>
        <w:jc w:val="center"/>
        <w:rPr>
          <w:b w:val="0"/>
        </w:rPr>
      </w:pPr>
      <w:r w:rsidRPr="00B23DEB">
        <w:rPr>
          <w:b w:val="0"/>
        </w:rPr>
        <w:t>20 September 2018</w:t>
      </w:r>
    </w:p>
    <w:p w:rsidR="00181422" w:rsidRPr="00B23DEB" w:rsidRDefault="00181422" w:rsidP="00B23DEB">
      <w:pPr>
        <w:pStyle w:val="JuCase"/>
        <w:ind w:firstLine="0"/>
        <w:jc w:val="center"/>
        <w:rPr>
          <w:b w:val="0"/>
        </w:rPr>
      </w:pPr>
    </w:p>
    <w:p w:rsidR="002669E9" w:rsidRPr="00B23DEB" w:rsidRDefault="002669E9" w:rsidP="00B23DEB">
      <w:pPr>
        <w:pStyle w:val="ECHRPara"/>
        <w:ind w:firstLine="0"/>
        <w:jc w:val="center"/>
      </w:pPr>
    </w:p>
    <w:p w:rsidR="00181422" w:rsidRPr="00B23DEB" w:rsidRDefault="00181422" w:rsidP="00B23DEB">
      <w:pPr>
        <w:pStyle w:val="JuCase"/>
        <w:ind w:firstLine="0"/>
        <w:jc w:val="center"/>
        <w:rPr>
          <w:b w:val="0"/>
        </w:rPr>
      </w:pPr>
    </w:p>
    <w:p w:rsidR="00181422" w:rsidRPr="00B23DEB" w:rsidRDefault="00181422" w:rsidP="00B23DEB">
      <w:pPr>
        <w:pStyle w:val="JuCase"/>
        <w:ind w:firstLine="0"/>
        <w:jc w:val="left"/>
        <w:rPr>
          <w:b w:val="0"/>
        </w:rPr>
        <w:sectPr w:rsidR="00181422" w:rsidRPr="00B23DEB" w:rsidSect="00181422">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code="9"/>
          <w:pgMar w:top="2274" w:right="2274" w:bottom="2274" w:left="2274" w:header="1701" w:footer="720" w:gutter="0"/>
          <w:pgNumType w:start="1"/>
          <w:cols w:space="720"/>
          <w:titlePg/>
          <w:docGrid w:linePitch="326"/>
        </w:sectPr>
      </w:pPr>
      <w:r w:rsidRPr="00B23DEB">
        <w:rPr>
          <w:b w:val="0"/>
          <w:i/>
          <w:sz w:val="22"/>
        </w:rPr>
        <w:t>This judgment will become final in the circumstances set out in Article 44 § 2 of the Convention. It may be subject to editorial revision.</w:t>
      </w:r>
    </w:p>
    <w:p w:rsidR="00C64785" w:rsidRPr="00B23DEB" w:rsidRDefault="00642C37" w:rsidP="00B23DEB">
      <w:pPr>
        <w:pStyle w:val="JuCase"/>
        <w:rPr>
          <w:bCs/>
        </w:rPr>
      </w:pPr>
      <w:r w:rsidRPr="00B23DEB">
        <w:t xml:space="preserve">In the case of </w:t>
      </w:r>
      <w:r w:rsidR="00E941D8" w:rsidRPr="00B23DEB">
        <w:t xml:space="preserve">Solska </w:t>
      </w:r>
      <w:r w:rsidR="00FB1B48" w:rsidRPr="00B23DEB">
        <w:t xml:space="preserve">and Rybicka </w:t>
      </w:r>
      <w:r w:rsidR="00E941D8" w:rsidRPr="00B23DEB">
        <w:t>v. Poland</w:t>
      </w:r>
      <w:r w:rsidRPr="00B23DEB">
        <w:t>,</w:t>
      </w:r>
    </w:p>
    <w:p w:rsidR="00C64785" w:rsidRPr="00B23DEB" w:rsidRDefault="00642C37" w:rsidP="00B23DEB">
      <w:pPr>
        <w:pStyle w:val="ECHRPara"/>
      </w:pPr>
      <w:r w:rsidRPr="00B23DEB">
        <w:t>The European Court of Human Rights (</w:t>
      </w:r>
      <w:r w:rsidR="00E941D8" w:rsidRPr="00B23DEB">
        <w:t>First Section</w:t>
      </w:r>
      <w:r w:rsidR="00181422" w:rsidRPr="00B23DEB">
        <w:t>), sitting as a </w:t>
      </w:r>
      <w:r w:rsidR="00E941D8" w:rsidRPr="00B23DEB">
        <w:t>Chamber</w:t>
      </w:r>
      <w:r w:rsidRPr="00B23DEB">
        <w:t xml:space="preserve"> composed of:</w:t>
      </w:r>
    </w:p>
    <w:p w:rsidR="00C64785" w:rsidRPr="00B23DEB" w:rsidRDefault="00181422" w:rsidP="00B23DEB">
      <w:pPr>
        <w:pStyle w:val="ECHRDecisionBody"/>
      </w:pPr>
      <w:r w:rsidRPr="00B23DEB">
        <w:tab/>
        <w:t>Linos-Alexandre Sicilianos,</w:t>
      </w:r>
      <w:r w:rsidRPr="00B23DEB">
        <w:rPr>
          <w:i/>
        </w:rPr>
        <w:t xml:space="preserve"> President,</w:t>
      </w:r>
      <w:r w:rsidRPr="00B23DEB">
        <w:rPr>
          <w:i/>
        </w:rPr>
        <w:br/>
      </w:r>
      <w:r w:rsidRPr="00B23DEB">
        <w:tab/>
        <w:t>Aleš Pejchal,</w:t>
      </w:r>
      <w:r w:rsidRPr="00B23DEB">
        <w:rPr>
          <w:i/>
        </w:rPr>
        <w:br/>
      </w:r>
      <w:r w:rsidRPr="00B23DEB">
        <w:tab/>
        <w:t>Krzysztof Wojtyczek,</w:t>
      </w:r>
      <w:r w:rsidRPr="00B23DEB">
        <w:rPr>
          <w:i/>
        </w:rPr>
        <w:br/>
      </w:r>
      <w:r w:rsidRPr="00B23DEB">
        <w:tab/>
        <w:t>Ksenija Turković,</w:t>
      </w:r>
      <w:r w:rsidRPr="00B23DEB">
        <w:rPr>
          <w:i/>
        </w:rPr>
        <w:br/>
      </w:r>
      <w:r w:rsidRPr="00B23DEB">
        <w:tab/>
        <w:t>Pauliine Koskelo,</w:t>
      </w:r>
      <w:r w:rsidRPr="00B23DEB">
        <w:rPr>
          <w:i/>
        </w:rPr>
        <w:br/>
      </w:r>
      <w:r w:rsidRPr="00B23DEB">
        <w:tab/>
        <w:t>Tim Eicke,</w:t>
      </w:r>
      <w:r w:rsidRPr="00B23DEB">
        <w:rPr>
          <w:i/>
        </w:rPr>
        <w:br/>
      </w:r>
      <w:r w:rsidRPr="00B23DEB">
        <w:tab/>
        <w:t>Jovan Ilievski,</w:t>
      </w:r>
      <w:r w:rsidRPr="00B23DEB">
        <w:rPr>
          <w:i/>
        </w:rPr>
        <w:t xml:space="preserve"> judges,</w:t>
      </w:r>
      <w:r w:rsidRPr="00B23DEB">
        <w:rPr>
          <w:i/>
        </w:rPr>
        <w:br/>
      </w:r>
      <w:r w:rsidR="00642C37" w:rsidRPr="00B23DEB">
        <w:t xml:space="preserve">and </w:t>
      </w:r>
      <w:r w:rsidR="00E941D8" w:rsidRPr="00B23DEB">
        <w:t>Abel Campos</w:t>
      </w:r>
      <w:r w:rsidR="00642C37" w:rsidRPr="00B23DEB">
        <w:t xml:space="preserve">, </w:t>
      </w:r>
      <w:r w:rsidR="00E941D8" w:rsidRPr="00B23DEB">
        <w:rPr>
          <w:i/>
        </w:rPr>
        <w:t xml:space="preserve">Section </w:t>
      </w:r>
      <w:r w:rsidR="00E941D8" w:rsidRPr="00B23DEB">
        <w:rPr>
          <w:i/>
          <w:iCs/>
        </w:rPr>
        <w:t>Registrar</w:t>
      </w:r>
      <w:r w:rsidR="00642C37" w:rsidRPr="00B23DEB">
        <w:rPr>
          <w:i/>
        </w:rPr>
        <w:t>,</w:t>
      </w:r>
    </w:p>
    <w:p w:rsidR="00C64785" w:rsidRPr="00B23DEB" w:rsidRDefault="00642C37" w:rsidP="00B23DEB">
      <w:pPr>
        <w:pStyle w:val="ECHRPara"/>
      </w:pPr>
      <w:r w:rsidRPr="00B23DEB">
        <w:t xml:space="preserve">Having deliberated in private on </w:t>
      </w:r>
      <w:r w:rsidR="00181422" w:rsidRPr="00B23DEB">
        <w:t>28 August 2018</w:t>
      </w:r>
      <w:r w:rsidRPr="00B23DEB">
        <w:t>,</w:t>
      </w:r>
    </w:p>
    <w:p w:rsidR="00C64785" w:rsidRPr="00B23DEB" w:rsidRDefault="00642C37" w:rsidP="00B23DEB">
      <w:pPr>
        <w:pStyle w:val="ECHRPara"/>
      </w:pPr>
      <w:r w:rsidRPr="00B23DEB">
        <w:t>Delivers the following judgment, which was adopted on that date:</w:t>
      </w:r>
    </w:p>
    <w:p w:rsidR="00C64785" w:rsidRPr="00B23DEB" w:rsidRDefault="00642C37" w:rsidP="00B23DEB">
      <w:pPr>
        <w:pStyle w:val="ECHRTitle1"/>
      </w:pPr>
      <w:r w:rsidRPr="00B23DEB">
        <w:t>PROCEDURE</w:t>
      </w:r>
    </w:p>
    <w:p w:rsidR="00E941D8" w:rsidRPr="00B23DEB" w:rsidRDefault="00293004" w:rsidP="00B23DEB">
      <w:pPr>
        <w:pStyle w:val="ECHRPara"/>
      </w:pPr>
      <w:r w:rsidRPr="00B23DEB">
        <w:fldChar w:fldCharType="begin"/>
      </w:r>
      <w:r w:rsidRPr="00B23DEB">
        <w:instrText xml:space="preserve"> SEQ level0 \*arabic </w:instrText>
      </w:r>
      <w:r w:rsidRPr="00B23DEB">
        <w:fldChar w:fldCharType="separate"/>
      </w:r>
      <w:r w:rsidR="006549E3">
        <w:rPr>
          <w:noProof/>
        </w:rPr>
        <w:t>1</w:t>
      </w:r>
      <w:r w:rsidRPr="00B23DEB">
        <w:fldChar w:fldCharType="end"/>
      </w:r>
      <w:r w:rsidRPr="00B23DEB">
        <w:t>.  </w:t>
      </w:r>
      <w:r w:rsidR="00642C37" w:rsidRPr="00B23DEB">
        <w:t xml:space="preserve">The case originated in </w:t>
      </w:r>
      <w:r w:rsidR="002E0FF9" w:rsidRPr="00B23DEB">
        <w:t>two</w:t>
      </w:r>
      <w:r w:rsidR="00E941D8" w:rsidRPr="00B23DEB">
        <w:t xml:space="preserve"> applications (nos. 30491/17 and </w:t>
      </w:r>
      <w:r w:rsidR="002E0FF9" w:rsidRPr="00B23DEB">
        <w:t>31083/17</w:t>
      </w:r>
      <w:r w:rsidR="00E941D8" w:rsidRPr="00B23DEB">
        <w:t>)</w:t>
      </w:r>
      <w:r w:rsidR="00642C37" w:rsidRPr="00B23DEB">
        <w:t xml:space="preserve"> against </w:t>
      </w:r>
      <w:r w:rsidR="00E941D8" w:rsidRPr="00B23DEB">
        <w:t>the Republic of Poland</w:t>
      </w:r>
      <w:r w:rsidR="00642C37" w:rsidRPr="00B23DEB">
        <w:t xml:space="preserve"> lodged with the </w:t>
      </w:r>
      <w:r w:rsidR="00E941D8" w:rsidRPr="00B23DEB">
        <w:t>Court under Article 34</w:t>
      </w:r>
      <w:r w:rsidR="00642C37" w:rsidRPr="00B23DEB">
        <w:t xml:space="preserve"> of the Convention for the Protection of Human Rights and Fundamental Freedoms (“the Convention”) by </w:t>
      </w:r>
      <w:r w:rsidR="002E0FF9" w:rsidRPr="00B23DEB">
        <w:t xml:space="preserve">two </w:t>
      </w:r>
      <w:r w:rsidR="00E941D8" w:rsidRPr="00B23DEB">
        <w:t xml:space="preserve">Polish nationals, Ms Ewa Maria Solska </w:t>
      </w:r>
      <w:r w:rsidR="00181422" w:rsidRPr="00B23DEB">
        <w:t>(“the </w:t>
      </w:r>
      <w:r w:rsidR="004B4C3E" w:rsidRPr="00B23DEB">
        <w:t xml:space="preserve">first applicant”) </w:t>
      </w:r>
      <w:r w:rsidR="00E941D8" w:rsidRPr="00B23DEB">
        <w:t xml:space="preserve">and </w:t>
      </w:r>
      <w:r w:rsidR="008A5B97" w:rsidRPr="00B23DEB">
        <w:t>Ms Ma</w:t>
      </w:r>
      <w:r w:rsidR="008A5B97" w:rsidRPr="00B23DEB">
        <w:rPr>
          <w:rFonts w:cstheme="minorHAnsi"/>
        </w:rPr>
        <w:t>ł</w:t>
      </w:r>
      <w:r w:rsidR="008A5B97" w:rsidRPr="00B23DEB">
        <w:t xml:space="preserve">gorzata Ewa Rybicka </w:t>
      </w:r>
      <w:r w:rsidR="00181422" w:rsidRPr="00B23DEB">
        <w:t>(“the second </w:t>
      </w:r>
      <w:r w:rsidR="001C0FD7" w:rsidRPr="00B23DEB">
        <w:t>applicant”)</w:t>
      </w:r>
      <w:r w:rsidR="00E941D8" w:rsidRPr="00B23DEB">
        <w:t>, on 19 April 2017</w:t>
      </w:r>
      <w:r w:rsidR="00642C37" w:rsidRPr="00B23DEB">
        <w:t>.</w:t>
      </w:r>
    </w:p>
    <w:p w:rsidR="00181422" w:rsidRPr="00B23DEB" w:rsidRDefault="00E941D8" w:rsidP="00B23DEB">
      <w:pPr>
        <w:pStyle w:val="ECHRPara"/>
      </w:pPr>
      <w:r w:rsidRPr="00B23DEB">
        <w:fldChar w:fldCharType="begin"/>
      </w:r>
      <w:r w:rsidRPr="00B23DEB">
        <w:instrText xml:space="preserve"> SEQ level0 \*arabic </w:instrText>
      </w:r>
      <w:r w:rsidRPr="00B23DEB">
        <w:fldChar w:fldCharType="separate"/>
      </w:r>
      <w:r w:rsidR="006549E3">
        <w:rPr>
          <w:noProof/>
        </w:rPr>
        <w:t>2</w:t>
      </w:r>
      <w:r w:rsidRPr="00B23DEB">
        <w:fldChar w:fldCharType="end"/>
      </w:r>
      <w:r w:rsidR="00642C37" w:rsidRPr="00B23DEB">
        <w:t>.  </w:t>
      </w:r>
      <w:r w:rsidRPr="00B23DEB">
        <w:t xml:space="preserve">The applicants </w:t>
      </w:r>
      <w:r w:rsidR="00732FFA" w:rsidRPr="00B23DEB">
        <w:t xml:space="preserve">were represented by Mr P. Kładoczny, a lawyer </w:t>
      </w:r>
      <w:r w:rsidR="00BB32C1" w:rsidRPr="00B23DEB">
        <w:t xml:space="preserve">working </w:t>
      </w:r>
      <w:r w:rsidR="00732FFA" w:rsidRPr="00B23DEB">
        <w:t>with the Helsink</w:t>
      </w:r>
      <w:r w:rsidR="00181422" w:rsidRPr="00B23DEB">
        <w:t>i Foundation of Human Rights, a </w:t>
      </w:r>
      <w:r w:rsidR="00732FFA" w:rsidRPr="00B23DEB">
        <w:t>non</w:t>
      </w:r>
      <w:r w:rsidR="00732FFA" w:rsidRPr="00B23DEB">
        <w:noBreakHyphen/>
        <w:t>government</w:t>
      </w:r>
      <w:r w:rsidR="008E6F1F" w:rsidRPr="00B23DEB">
        <w:t xml:space="preserve">al organisation based in Warsaw. </w:t>
      </w:r>
      <w:r w:rsidR="00642C37" w:rsidRPr="00B23DEB">
        <w:t xml:space="preserve">The </w:t>
      </w:r>
      <w:r w:rsidRPr="00B23DEB">
        <w:t>Polish</w:t>
      </w:r>
      <w:r w:rsidR="00642C37" w:rsidRPr="00B23DEB">
        <w:t xml:space="preserve"> Government (“the Government”) were represented by their Agent, M</w:t>
      </w:r>
      <w:r w:rsidR="00732FFA" w:rsidRPr="00B23DEB">
        <w:t>s J. Chrzanowska of the Ministry of Foreign Affairs.</w:t>
      </w:r>
    </w:p>
    <w:p w:rsidR="00181422" w:rsidRPr="00B23DEB" w:rsidRDefault="00E941D8" w:rsidP="00B23DEB">
      <w:pPr>
        <w:pStyle w:val="ECHRPara"/>
      </w:pPr>
      <w:r w:rsidRPr="00B23DEB">
        <w:fldChar w:fldCharType="begin"/>
      </w:r>
      <w:r w:rsidRPr="00B23DEB">
        <w:instrText xml:space="preserve"> SEQ level0 \*arabic </w:instrText>
      </w:r>
      <w:r w:rsidRPr="00B23DEB">
        <w:fldChar w:fldCharType="separate"/>
      </w:r>
      <w:r w:rsidR="006549E3">
        <w:rPr>
          <w:noProof/>
        </w:rPr>
        <w:t>3</w:t>
      </w:r>
      <w:r w:rsidRPr="00B23DEB">
        <w:fldChar w:fldCharType="end"/>
      </w:r>
      <w:r w:rsidR="00CB7CA5" w:rsidRPr="00B23DEB">
        <w:t>.  The applicants alleged, in particular, that the exhumation of their husbands</w:t>
      </w:r>
      <w:r w:rsidR="00B23DEB" w:rsidRPr="00B23DEB">
        <w:t>’</w:t>
      </w:r>
      <w:r w:rsidR="00CB7CA5" w:rsidRPr="00B23DEB">
        <w:t xml:space="preserve"> remains had violated Article 8 of the Convention.</w:t>
      </w:r>
    </w:p>
    <w:p w:rsidR="00AC593C" w:rsidRPr="00B23DEB" w:rsidRDefault="00E941D8" w:rsidP="00B23DEB">
      <w:pPr>
        <w:pStyle w:val="ECHRPara"/>
      </w:pPr>
      <w:r w:rsidRPr="00B23DEB">
        <w:fldChar w:fldCharType="begin"/>
      </w:r>
      <w:r w:rsidRPr="00B23DEB">
        <w:instrText xml:space="preserve"> SEQ level0 \*arabic </w:instrText>
      </w:r>
      <w:r w:rsidRPr="00B23DEB">
        <w:fldChar w:fldCharType="separate"/>
      </w:r>
      <w:r w:rsidR="006549E3">
        <w:rPr>
          <w:noProof/>
        </w:rPr>
        <w:t>4</w:t>
      </w:r>
      <w:r w:rsidRPr="00B23DEB">
        <w:fldChar w:fldCharType="end"/>
      </w:r>
      <w:r w:rsidR="00642C37" w:rsidRPr="00B23DEB">
        <w:t>.  </w:t>
      </w:r>
      <w:r w:rsidRPr="00B23DEB">
        <w:t xml:space="preserve">On </w:t>
      </w:r>
      <w:r w:rsidR="00AC593C" w:rsidRPr="00B23DEB">
        <w:t xml:space="preserve">22 September 2017 </w:t>
      </w:r>
      <w:r w:rsidR="00642C37" w:rsidRPr="00B23DEB">
        <w:t xml:space="preserve">the </w:t>
      </w:r>
      <w:r w:rsidRPr="00B23DEB">
        <w:t>applications were communicated to the Government</w:t>
      </w:r>
      <w:r w:rsidR="00AC593C" w:rsidRPr="00B23DEB">
        <w:t>.</w:t>
      </w:r>
    </w:p>
    <w:p w:rsidR="00C64785" w:rsidRPr="00B23DEB" w:rsidRDefault="00642C37" w:rsidP="00B23DEB">
      <w:pPr>
        <w:pStyle w:val="ECHRTitle1"/>
      </w:pPr>
      <w:r w:rsidRPr="00B23DEB">
        <w:t>THE FACTS</w:t>
      </w:r>
    </w:p>
    <w:p w:rsidR="00C64785" w:rsidRPr="00B23DEB" w:rsidRDefault="00642C37" w:rsidP="00B23DEB">
      <w:pPr>
        <w:pStyle w:val="ECHRHeading1"/>
      </w:pPr>
      <w:r w:rsidRPr="00B23DEB">
        <w:t>I.  THE CIRCUMSTANCES OF THE CASE</w:t>
      </w:r>
    </w:p>
    <w:p w:rsidR="00181422" w:rsidRPr="00B23DEB" w:rsidRDefault="00E941D8" w:rsidP="00B23DEB">
      <w:pPr>
        <w:pStyle w:val="ECHRPara"/>
      </w:pPr>
      <w:r w:rsidRPr="00B23DEB">
        <w:fldChar w:fldCharType="begin"/>
      </w:r>
      <w:r w:rsidRPr="00B23DEB">
        <w:instrText xml:space="preserve"> SEQ level0 \*arabic </w:instrText>
      </w:r>
      <w:r w:rsidRPr="00B23DEB">
        <w:fldChar w:fldCharType="separate"/>
      </w:r>
      <w:r w:rsidR="006549E3">
        <w:rPr>
          <w:noProof/>
        </w:rPr>
        <w:t>5</w:t>
      </w:r>
      <w:r w:rsidRPr="00B23DEB">
        <w:fldChar w:fldCharType="end"/>
      </w:r>
      <w:r w:rsidR="00642C37" w:rsidRPr="00B23DEB">
        <w:t>.  The</w:t>
      </w:r>
      <w:r w:rsidRPr="00B23DEB">
        <w:t xml:space="preserve"> </w:t>
      </w:r>
      <w:r w:rsidR="00AC593C" w:rsidRPr="00B23DEB">
        <w:t>first applicant was born in 1937 and lives in Sopot. The second applicant was born in 1955 and lives in Gda</w:t>
      </w:r>
      <w:r w:rsidR="00AC593C" w:rsidRPr="00B23DEB">
        <w:rPr>
          <w:rFonts w:cstheme="minorHAnsi"/>
        </w:rPr>
        <w:t>ń</w:t>
      </w:r>
      <w:r w:rsidR="00AC593C" w:rsidRPr="00B23DEB">
        <w:t>sk.</w:t>
      </w:r>
    </w:p>
    <w:p w:rsidR="00C25C70" w:rsidRPr="00B23DEB" w:rsidRDefault="00C7382B" w:rsidP="00B23DEB">
      <w:pPr>
        <w:pStyle w:val="ECHRHeading2"/>
      </w:pPr>
      <w:r w:rsidRPr="00B23DEB">
        <w:t>A.  </w:t>
      </w:r>
      <w:r w:rsidR="00EE0737" w:rsidRPr="00B23DEB">
        <w:t>C</w:t>
      </w:r>
      <w:r w:rsidR="00C25C70" w:rsidRPr="00B23DEB">
        <w:t>rash</w:t>
      </w:r>
    </w:p>
    <w:p w:rsidR="00C25C70" w:rsidRPr="00B23DEB" w:rsidRDefault="00C25C70" w:rsidP="00B23DEB">
      <w:pPr>
        <w:pStyle w:val="ECHRPara"/>
      </w:pPr>
      <w:r w:rsidRPr="00B23DEB">
        <w:fldChar w:fldCharType="begin"/>
      </w:r>
      <w:r w:rsidRPr="00B23DEB">
        <w:instrText xml:space="preserve"> SEQ level0 \*arabic </w:instrText>
      </w:r>
      <w:r w:rsidRPr="00B23DEB">
        <w:fldChar w:fldCharType="separate"/>
      </w:r>
      <w:r w:rsidR="006549E3">
        <w:rPr>
          <w:noProof/>
        </w:rPr>
        <w:t>6</w:t>
      </w:r>
      <w:r w:rsidRPr="00B23DEB">
        <w:fldChar w:fldCharType="end"/>
      </w:r>
      <w:r w:rsidRPr="00B23DEB">
        <w:t xml:space="preserve">.  On 10 April 2010 an aircraft of the Polish Air Force was carrying </w:t>
      </w:r>
      <w:r w:rsidR="00181422" w:rsidRPr="00B23DEB">
        <w:t>a </w:t>
      </w:r>
      <w:r w:rsidRPr="00B23DEB">
        <w:t>Polish State delegation from Warsaw to Smolensk, Russia</w:t>
      </w:r>
      <w:r w:rsidR="00C7197F" w:rsidRPr="00B23DEB">
        <w:t>,</w:t>
      </w:r>
      <w:r w:rsidR="00181422" w:rsidRPr="00B23DEB">
        <w:t xml:space="preserve"> to attend a </w:t>
      </w:r>
      <w:r w:rsidRPr="00B23DEB">
        <w:t>ceremony marking the 70</w:t>
      </w:r>
      <w:r w:rsidRPr="00B23DEB">
        <w:rPr>
          <w:vertAlign w:val="superscript"/>
        </w:rPr>
        <w:t>th</w:t>
      </w:r>
      <w:r w:rsidRPr="00B23DEB">
        <w:t xml:space="preserve"> anniver</w:t>
      </w:r>
      <w:r w:rsidR="00181422" w:rsidRPr="00B23DEB">
        <w:t>sary of the Katyń massacre. The </w:t>
      </w:r>
      <w:r w:rsidRPr="00B23DEB">
        <w:t xml:space="preserve">delegation was led by the President of Poland and included many </w:t>
      </w:r>
      <w:r w:rsidR="00181422" w:rsidRPr="00B23DEB">
        <w:t>high</w:t>
      </w:r>
      <w:r w:rsidR="00181422" w:rsidRPr="00B23DEB">
        <w:noBreakHyphen/>
      </w:r>
      <w:r w:rsidRPr="00B23DEB">
        <w:t>ranking officials. The aircraft crashed during the approach to Smolensk</w:t>
      </w:r>
      <w:r w:rsidR="00C7197F" w:rsidRPr="00B23DEB">
        <w:t xml:space="preserve"> aerodrome</w:t>
      </w:r>
      <w:r w:rsidRPr="00B23DEB">
        <w:t>, killing all ninety-six people on board (eighty</w:t>
      </w:r>
      <w:r w:rsidRPr="00B23DEB">
        <w:noBreakHyphen/>
        <w:t>eight passengers and eight crew members).</w:t>
      </w:r>
    </w:p>
    <w:p w:rsidR="00C25C70" w:rsidRPr="00B23DEB" w:rsidRDefault="00C25C70" w:rsidP="00B23DEB">
      <w:pPr>
        <w:pStyle w:val="ECHRPara"/>
      </w:pPr>
      <w:r w:rsidRPr="00B23DEB">
        <w:fldChar w:fldCharType="begin"/>
      </w:r>
      <w:r w:rsidRPr="00B23DEB">
        <w:instrText xml:space="preserve"> SEQ level0 \*arabic </w:instrText>
      </w:r>
      <w:r w:rsidRPr="00B23DEB">
        <w:fldChar w:fldCharType="separate"/>
      </w:r>
      <w:r w:rsidR="006549E3">
        <w:rPr>
          <w:noProof/>
        </w:rPr>
        <w:t>7</w:t>
      </w:r>
      <w:r w:rsidRPr="00B23DEB">
        <w:fldChar w:fldCharType="end"/>
      </w:r>
      <w:r w:rsidRPr="00B23DEB">
        <w:t>.  The applicants are the widows of two victims of the crash</w:t>
      </w:r>
      <w:r w:rsidR="00181422" w:rsidRPr="00B23DEB">
        <w:t>, Mr Leszek </w:t>
      </w:r>
      <w:r w:rsidR="00395130" w:rsidRPr="00B23DEB">
        <w:t xml:space="preserve">Solski, </w:t>
      </w:r>
      <w:r w:rsidRPr="00B23DEB">
        <w:t>an activist of the Katyń Families Association</w:t>
      </w:r>
      <w:r w:rsidR="00C7197F" w:rsidRPr="00B23DEB">
        <w:t>,</w:t>
      </w:r>
      <w:r w:rsidRPr="00B23DEB">
        <w:t xml:space="preserve"> and </w:t>
      </w:r>
      <w:r w:rsidR="00181422" w:rsidRPr="00B23DEB">
        <w:t>Mr </w:t>
      </w:r>
      <w:r w:rsidR="00395130" w:rsidRPr="00B23DEB">
        <w:t xml:space="preserve">Arkadiusz Rybicki, </w:t>
      </w:r>
      <w:r w:rsidR="00C7197F" w:rsidRPr="00B23DEB">
        <w:t>a member of parliament</w:t>
      </w:r>
      <w:r w:rsidRPr="00B23DEB">
        <w:t>.</w:t>
      </w:r>
    </w:p>
    <w:p w:rsidR="00181422" w:rsidRPr="00B23DEB" w:rsidRDefault="00C25C70" w:rsidP="00B23DEB">
      <w:pPr>
        <w:pStyle w:val="ECHRPara"/>
      </w:pPr>
      <w:r w:rsidRPr="00B23DEB">
        <w:fldChar w:fldCharType="begin"/>
      </w:r>
      <w:r w:rsidRPr="00B23DEB">
        <w:instrText xml:space="preserve"> SEQ level0 \*arabic </w:instrText>
      </w:r>
      <w:r w:rsidRPr="00B23DEB">
        <w:fldChar w:fldCharType="separate"/>
      </w:r>
      <w:r w:rsidR="006549E3">
        <w:rPr>
          <w:noProof/>
        </w:rPr>
        <w:t>8</w:t>
      </w:r>
      <w:r w:rsidRPr="00B23DEB">
        <w:fldChar w:fldCharType="end"/>
      </w:r>
      <w:r w:rsidRPr="00B23DEB">
        <w:t>.  On 29 July 2011 the Polish Committee for the Investigation of State Aviation Accidents (</w:t>
      </w:r>
      <w:r w:rsidRPr="00B23DEB">
        <w:rPr>
          <w:i/>
        </w:rPr>
        <w:t>Komisja Badania Wypadków Lotniczych Lotnictwa Państwowego</w:t>
      </w:r>
      <w:r w:rsidRPr="00B23DEB">
        <w:t>) published its report on the causes of the crash. It concluded</w:t>
      </w:r>
      <w:r w:rsidR="008B05C9" w:rsidRPr="00B23DEB">
        <w:t>:</w:t>
      </w:r>
    </w:p>
    <w:p w:rsidR="00181422" w:rsidRPr="00B23DEB" w:rsidRDefault="00C25C70" w:rsidP="00B23DEB">
      <w:pPr>
        <w:pStyle w:val="ECHRParaQuote"/>
      </w:pPr>
      <w:r w:rsidRPr="00B23DEB">
        <w:t xml:space="preserve">“the immediate cause of the accident was the descent below the minimum descent altitude at an excessive rate of descent in weather conditions which prevented visual contact with the ground, as well as a delayed execution of the go-around procedure. Those circumstances led to impact </w:t>
      </w:r>
      <w:r w:rsidR="008B05C9" w:rsidRPr="00B23DEB">
        <w:t xml:space="preserve">with an </w:t>
      </w:r>
      <w:r w:rsidRPr="00B23DEB">
        <w:t xml:space="preserve">obstacle </w:t>
      </w:r>
      <w:r w:rsidR="008B05C9" w:rsidRPr="00B23DEB">
        <w:t xml:space="preserve">on the ground, </w:t>
      </w:r>
      <w:r w:rsidRPr="00B23DEB">
        <w:t xml:space="preserve">resulting in </w:t>
      </w:r>
      <w:r w:rsidR="008B05C9" w:rsidRPr="00B23DEB">
        <w:t xml:space="preserve">the </w:t>
      </w:r>
      <w:r w:rsidRPr="00B23DEB">
        <w:t>separation of part of the left wing with the aileron and consequently to the loss of aircraft control and eventual ground impact”.</w:t>
      </w:r>
    </w:p>
    <w:p w:rsidR="00181422" w:rsidRPr="00B23DEB" w:rsidRDefault="00C25C70" w:rsidP="00B23DEB">
      <w:pPr>
        <w:pStyle w:val="ECHRPara"/>
      </w:pPr>
      <w:r w:rsidRPr="00B23DEB">
        <w:t xml:space="preserve">The </w:t>
      </w:r>
      <w:r w:rsidR="008B05C9" w:rsidRPr="00B23DEB">
        <w:t>c</w:t>
      </w:r>
      <w:r w:rsidRPr="00B23DEB">
        <w:t>ommittee excluded the possibility that an explosion had taken place on board. An earlier report by the Russian Inter</w:t>
      </w:r>
      <w:r w:rsidRPr="00B23DEB">
        <w:noBreakHyphen/>
        <w:t>State Aviation Committee contained similar findings. The Parliamentary Group on the Examination of the Smolensk Crash reached different conclusions</w:t>
      </w:r>
      <w:r w:rsidR="00BB32C1" w:rsidRPr="00B23DEB">
        <w:t>, however,</w:t>
      </w:r>
      <w:r w:rsidRPr="00B23DEB">
        <w:t xml:space="preserve"> and suggested </w:t>
      </w:r>
      <w:r w:rsidR="008B05C9" w:rsidRPr="00B23DEB">
        <w:t xml:space="preserve">that </w:t>
      </w:r>
      <w:r w:rsidRPr="00B23DEB">
        <w:t xml:space="preserve">an explosion on board </w:t>
      </w:r>
      <w:r w:rsidR="008B05C9" w:rsidRPr="00B23DEB">
        <w:t xml:space="preserve">may have been one of the </w:t>
      </w:r>
      <w:r w:rsidRPr="00B23DEB">
        <w:t>causes of the accident.</w:t>
      </w:r>
      <w:r w:rsidR="00BC482F" w:rsidRPr="00B23DEB">
        <w:t xml:space="preserve"> </w:t>
      </w:r>
      <w:r w:rsidR="001C6BD5" w:rsidRPr="00B23DEB">
        <w:t xml:space="preserve">According to the </w:t>
      </w:r>
      <w:r w:rsidR="00BC482F" w:rsidRPr="00B23DEB">
        <w:t>applicants</w:t>
      </w:r>
      <w:r w:rsidR="001C6BD5" w:rsidRPr="00B23DEB">
        <w:t xml:space="preserve">, the Parliamentary Group </w:t>
      </w:r>
      <w:r w:rsidR="00BC482F" w:rsidRPr="00B23DEB">
        <w:t>was not an official investigative authority</w:t>
      </w:r>
      <w:r w:rsidR="001C6BD5" w:rsidRPr="00B23DEB">
        <w:t>.</w:t>
      </w:r>
    </w:p>
    <w:p w:rsidR="00181422" w:rsidRPr="00B23DEB" w:rsidRDefault="00C7382B" w:rsidP="00B23DEB">
      <w:pPr>
        <w:pStyle w:val="ECHRHeading2"/>
      </w:pPr>
      <w:r w:rsidRPr="00B23DEB">
        <w:t>B.  </w:t>
      </w:r>
      <w:r w:rsidR="00F728EB" w:rsidRPr="00B23DEB">
        <w:t>Investigation into the crash</w:t>
      </w:r>
    </w:p>
    <w:p w:rsidR="00181422" w:rsidRPr="00B23DEB" w:rsidRDefault="00F728EB" w:rsidP="00B23DEB">
      <w:pPr>
        <w:pStyle w:val="ECHRPara"/>
      </w:pPr>
      <w:r w:rsidRPr="00B23DEB">
        <w:fldChar w:fldCharType="begin"/>
      </w:r>
      <w:r w:rsidRPr="00B23DEB">
        <w:instrText xml:space="preserve"> SEQ level0 \*arabic </w:instrText>
      </w:r>
      <w:r w:rsidRPr="00B23DEB">
        <w:fldChar w:fldCharType="separate"/>
      </w:r>
      <w:r w:rsidR="006549E3">
        <w:rPr>
          <w:noProof/>
        </w:rPr>
        <w:t>9</w:t>
      </w:r>
      <w:r w:rsidRPr="00B23DEB">
        <w:fldChar w:fldCharType="end"/>
      </w:r>
      <w:r w:rsidRPr="00B23DEB">
        <w:t>.  </w:t>
      </w:r>
      <w:r w:rsidR="00C25C70" w:rsidRPr="00B23DEB">
        <w:t>The Warsaw Regional Military Prosecutor</w:t>
      </w:r>
      <w:r w:rsidR="00B23DEB" w:rsidRPr="00B23DEB">
        <w:t>’</w:t>
      </w:r>
      <w:r w:rsidR="00C25C70" w:rsidRPr="00B23DEB">
        <w:t>s Office opened an investigation into the crash on 10 April 2010.</w:t>
      </w:r>
    </w:p>
    <w:p w:rsidR="00385823" w:rsidRPr="00B23DEB" w:rsidRDefault="00385823" w:rsidP="00B23DEB">
      <w:pPr>
        <w:pStyle w:val="ECHRPara"/>
      </w:pPr>
      <w:r w:rsidRPr="00B23DEB">
        <w:fldChar w:fldCharType="begin"/>
      </w:r>
      <w:r w:rsidRPr="00B23DEB">
        <w:instrText xml:space="preserve"> SEQ level0 \*arabic </w:instrText>
      </w:r>
      <w:r w:rsidRPr="00B23DEB">
        <w:fldChar w:fldCharType="separate"/>
      </w:r>
      <w:r w:rsidR="006549E3">
        <w:rPr>
          <w:noProof/>
        </w:rPr>
        <w:t>10</w:t>
      </w:r>
      <w:r w:rsidRPr="00B23DEB">
        <w:fldChar w:fldCharType="end"/>
      </w:r>
      <w:r w:rsidRPr="00B23DEB">
        <w:t>.  Both applicants were granted victim status in the investigation.</w:t>
      </w:r>
    </w:p>
    <w:p w:rsidR="00181422" w:rsidRPr="00B23DEB" w:rsidRDefault="00C25C70" w:rsidP="00B23DEB">
      <w:pPr>
        <w:pStyle w:val="ECHRPara"/>
      </w:pPr>
      <w:r w:rsidRPr="00B23DEB">
        <w:fldChar w:fldCharType="begin"/>
      </w:r>
      <w:r w:rsidRPr="00B23DEB">
        <w:instrText xml:space="preserve"> SEQ level0 \*arabic </w:instrText>
      </w:r>
      <w:r w:rsidRPr="00B23DEB">
        <w:fldChar w:fldCharType="separate"/>
      </w:r>
      <w:r w:rsidR="006549E3">
        <w:rPr>
          <w:noProof/>
        </w:rPr>
        <w:t>11</w:t>
      </w:r>
      <w:r w:rsidRPr="00B23DEB">
        <w:fldChar w:fldCharType="end"/>
      </w:r>
      <w:r w:rsidRPr="00B23DEB">
        <w:t xml:space="preserve">.  On 4 April 2016 the investigation was assigned to </w:t>
      </w:r>
      <w:r w:rsidR="00284ED3" w:rsidRPr="00B23DEB">
        <w:t>an i</w:t>
      </w:r>
      <w:r w:rsidRPr="00B23DEB">
        <w:t xml:space="preserve">nvestigative </w:t>
      </w:r>
      <w:r w:rsidR="00284ED3" w:rsidRPr="00B23DEB">
        <w:t>t</w:t>
      </w:r>
      <w:r w:rsidRPr="00B23DEB">
        <w:t>eam of the State Prosecutor</w:t>
      </w:r>
      <w:r w:rsidR="00B23DEB" w:rsidRPr="00B23DEB">
        <w:t>’</w:t>
      </w:r>
      <w:r w:rsidRPr="00B23DEB">
        <w:t>s Office (</w:t>
      </w:r>
      <w:r w:rsidRPr="00B23DEB">
        <w:rPr>
          <w:i/>
        </w:rPr>
        <w:t>Prokuratura Krajowa</w:t>
      </w:r>
      <w:r w:rsidRPr="00B23DEB">
        <w:t>).</w:t>
      </w:r>
    </w:p>
    <w:p w:rsidR="00181422" w:rsidRPr="00B23DEB" w:rsidRDefault="00C73872" w:rsidP="00B23DEB">
      <w:pPr>
        <w:pStyle w:val="ECHRPara"/>
      </w:pPr>
      <w:r w:rsidRPr="00B23DEB">
        <w:fldChar w:fldCharType="begin"/>
      </w:r>
      <w:r w:rsidRPr="00B23DEB">
        <w:instrText xml:space="preserve"> SEQ level0 \*arabic </w:instrText>
      </w:r>
      <w:r w:rsidRPr="00B23DEB">
        <w:fldChar w:fldCharType="separate"/>
      </w:r>
      <w:r w:rsidR="006549E3">
        <w:rPr>
          <w:noProof/>
        </w:rPr>
        <w:t>12</w:t>
      </w:r>
      <w:r w:rsidRPr="00B23DEB">
        <w:fldChar w:fldCharType="end"/>
      </w:r>
      <w:r w:rsidRPr="00B23DEB">
        <w:t>.  On 21 June 2016 the State Prosecutor</w:t>
      </w:r>
      <w:r w:rsidR="00B23DEB" w:rsidRPr="00B23DEB">
        <w:t>’</w:t>
      </w:r>
      <w:r w:rsidRPr="00B23DEB">
        <w:t>s Office organised a meeting with the victims</w:t>
      </w:r>
      <w:r w:rsidR="00B23DEB" w:rsidRPr="00B23DEB">
        <w:t>’</w:t>
      </w:r>
      <w:r w:rsidRPr="00B23DEB">
        <w:t xml:space="preserve"> families. The purpose of the meeting was </w:t>
      </w:r>
      <w:r w:rsidR="000F6C8E" w:rsidRPr="00B23DEB">
        <w:t xml:space="preserve">to explain the need </w:t>
      </w:r>
      <w:r w:rsidR="001956D0" w:rsidRPr="00B23DEB">
        <w:t xml:space="preserve">to </w:t>
      </w:r>
      <w:r w:rsidR="000F6C8E" w:rsidRPr="00B23DEB">
        <w:t>carry out exhumations and autopsies</w:t>
      </w:r>
      <w:r w:rsidR="008B05C9" w:rsidRPr="00B23DEB">
        <w:t>,</w:t>
      </w:r>
      <w:r w:rsidR="000F6C8E" w:rsidRPr="00B23DEB">
        <w:t xml:space="preserve"> as well as </w:t>
      </w:r>
      <w:r w:rsidRPr="00B23DEB">
        <w:t xml:space="preserve">to </w:t>
      </w:r>
      <w:r w:rsidR="00BB32C1" w:rsidRPr="00B23DEB">
        <w:t xml:space="preserve">hear </w:t>
      </w:r>
      <w:r w:rsidRPr="00B23DEB">
        <w:t>opinions</w:t>
      </w:r>
      <w:r w:rsidR="000F6C8E" w:rsidRPr="00B23DEB">
        <w:t xml:space="preserve"> from all </w:t>
      </w:r>
      <w:r w:rsidR="008B05C9" w:rsidRPr="00B23DEB">
        <w:t xml:space="preserve">the </w:t>
      </w:r>
      <w:r w:rsidR="000F6C8E" w:rsidRPr="00B23DEB">
        <w:t>families concerned.</w:t>
      </w:r>
    </w:p>
    <w:p w:rsidR="00181422" w:rsidRPr="00B23DEB" w:rsidRDefault="006E2511" w:rsidP="00B23DEB">
      <w:pPr>
        <w:pStyle w:val="ECHRPara"/>
      </w:pPr>
      <w:r w:rsidRPr="00B23DEB">
        <w:fldChar w:fldCharType="begin"/>
      </w:r>
      <w:r w:rsidRPr="00B23DEB">
        <w:instrText xml:space="preserve"> SEQ level0 \*arabic </w:instrText>
      </w:r>
      <w:r w:rsidRPr="00B23DEB">
        <w:fldChar w:fldCharType="separate"/>
      </w:r>
      <w:r w:rsidR="006549E3">
        <w:rPr>
          <w:noProof/>
        </w:rPr>
        <w:t>13</w:t>
      </w:r>
      <w:r w:rsidRPr="00B23DEB">
        <w:fldChar w:fldCharType="end"/>
      </w:r>
      <w:r w:rsidRPr="00B23DEB">
        <w:t xml:space="preserve">.  The first applicant attended </w:t>
      </w:r>
      <w:r w:rsidR="008B05C9" w:rsidRPr="00B23DEB">
        <w:t xml:space="preserve">that </w:t>
      </w:r>
      <w:r w:rsidRPr="00B23DEB">
        <w:t xml:space="preserve">meeting. She submitted that the prosecutor had focused on </w:t>
      </w:r>
      <w:r w:rsidR="00FB7F2F" w:rsidRPr="00B23DEB">
        <w:t xml:space="preserve">criticising </w:t>
      </w:r>
      <w:r w:rsidRPr="00B23DEB">
        <w:t xml:space="preserve">the </w:t>
      </w:r>
      <w:r w:rsidR="00FB7F2F" w:rsidRPr="00B23DEB">
        <w:t xml:space="preserve">report </w:t>
      </w:r>
      <w:r w:rsidRPr="00B23DEB">
        <w:t xml:space="preserve">of the Polish Committee for the Investigation of State Aviation Accidents. </w:t>
      </w:r>
      <w:r w:rsidR="00F33A9E" w:rsidRPr="00B23DEB">
        <w:t>O</w:t>
      </w:r>
      <w:r w:rsidRPr="00B23DEB">
        <w:t>nly those families who supported the prosecutor</w:t>
      </w:r>
      <w:r w:rsidR="00B23DEB" w:rsidRPr="00B23DEB">
        <w:t>’</w:t>
      </w:r>
      <w:r w:rsidRPr="00B23DEB">
        <w:t xml:space="preserve">s decision on </w:t>
      </w:r>
      <w:r w:rsidR="008B05C9" w:rsidRPr="00B23DEB">
        <w:t xml:space="preserve">the </w:t>
      </w:r>
      <w:r w:rsidRPr="00B23DEB">
        <w:t>exhumations had been allowed to speak. The second applicant did not attend the meeting. She did not trust the State Prosecutor</w:t>
      </w:r>
      <w:r w:rsidR="00B23DEB" w:rsidRPr="00B23DEB">
        <w:t>’</w:t>
      </w:r>
      <w:r w:rsidRPr="00B23DEB">
        <w:t xml:space="preserve">s Office because she felt that it favoured those families who supported the exhumations and </w:t>
      </w:r>
      <w:r w:rsidR="008B05C9" w:rsidRPr="00B23DEB">
        <w:t xml:space="preserve">the </w:t>
      </w:r>
      <w:r w:rsidRPr="00B23DEB">
        <w:t>conspiracy theories around the crash.</w:t>
      </w:r>
    </w:p>
    <w:p w:rsidR="00181422" w:rsidRPr="00B23DEB" w:rsidRDefault="00C25C70" w:rsidP="00B23DEB">
      <w:pPr>
        <w:pStyle w:val="ECHRPara"/>
      </w:pPr>
      <w:r w:rsidRPr="00B23DEB">
        <w:fldChar w:fldCharType="begin"/>
      </w:r>
      <w:r w:rsidRPr="00B23DEB">
        <w:instrText xml:space="preserve"> SEQ level0 \*arabic </w:instrText>
      </w:r>
      <w:r w:rsidRPr="00B23DEB">
        <w:fldChar w:fldCharType="separate"/>
      </w:r>
      <w:r w:rsidR="006549E3">
        <w:rPr>
          <w:noProof/>
        </w:rPr>
        <w:t>14</w:t>
      </w:r>
      <w:r w:rsidRPr="00B23DEB">
        <w:fldChar w:fldCharType="end"/>
      </w:r>
      <w:r w:rsidRPr="00B23DEB">
        <w:t>.  </w:t>
      </w:r>
      <w:r w:rsidR="002541B8" w:rsidRPr="00B23DEB">
        <w:t>14.  On 7 October 2016, pursuant to Article 209 §§ 1 and 4 and Article 210 of the Code of Criminal Procedure (“the CCP”), a prosecutor of the State Prosecutor</w:t>
      </w:r>
      <w:r w:rsidR="00B23DEB" w:rsidRPr="00B23DEB">
        <w:t>’</w:t>
      </w:r>
      <w:r w:rsidR="002541B8" w:rsidRPr="00B23DEB">
        <w:t>s Office decided to appoint a team of international and national forensic experts with a view to carrying out autopsies on the bodies of eighty-three victims of the crash (the bodies of nine victims had already been exhumed and four victims had been cremated). The prosecutor asked the experts to:</w:t>
      </w:r>
    </w:p>
    <w:p w:rsidR="00181422" w:rsidRPr="00B23DEB" w:rsidRDefault="002541B8" w:rsidP="00B23DEB">
      <w:pPr>
        <w:pStyle w:val="ECHRParaQuote"/>
      </w:pPr>
      <w:r w:rsidRPr="00B23DEB">
        <w:t>“(1) carry out the medical imaging, examination and autopsy of the victims</w:t>
      </w:r>
      <w:r w:rsidR="00B23DEB" w:rsidRPr="00B23DEB">
        <w:t>’</w:t>
      </w:r>
      <w:r w:rsidRPr="00B23DEB">
        <w:t xml:space="preserve"> remains;</w:t>
      </w:r>
    </w:p>
    <w:p w:rsidR="002541B8" w:rsidRPr="00B23DEB" w:rsidRDefault="002541B8" w:rsidP="00B23DEB">
      <w:pPr>
        <w:pStyle w:val="ECHRParaQuote"/>
      </w:pPr>
      <w:r w:rsidRPr="00B23DEB">
        <w:t>(2) determine the cause of death, and the manner and circumstances in which the victims sustained their injuries, including whether the injuries were sustained before or after their death, as well as to ascertain whether the injuries came about at the place and time the crash occurred;</w:t>
      </w:r>
    </w:p>
    <w:p w:rsidR="002541B8" w:rsidRPr="00B23DEB" w:rsidRDefault="002541B8" w:rsidP="00B23DEB">
      <w:pPr>
        <w:pStyle w:val="ECHRParaQuote"/>
      </w:pPr>
      <w:r w:rsidRPr="00B23DEB">
        <w:t>(3) ascertain whether the established injuries ind</w:t>
      </w:r>
      <w:r w:rsidR="00181422" w:rsidRPr="00B23DEB">
        <w:t>icate that they came about as a </w:t>
      </w:r>
      <w:r w:rsidRPr="00B23DEB">
        <w:t>result of the aircraft</w:t>
      </w:r>
      <w:r w:rsidR="00B23DEB" w:rsidRPr="00B23DEB">
        <w:t>’</w:t>
      </w:r>
      <w:r w:rsidRPr="00B23DEB">
        <w:t xml:space="preserve">s impact with the ground and the disintegration of the aircraft parts, </w:t>
      </w:r>
      <w:r w:rsidR="00181422" w:rsidRPr="00B23DEB">
        <w:t>...</w:t>
      </w:r>
      <w:r w:rsidRPr="00B23DEB">
        <w:t>;</w:t>
      </w:r>
    </w:p>
    <w:p w:rsidR="002541B8" w:rsidRPr="00B23DEB" w:rsidRDefault="002541B8" w:rsidP="00B23DEB">
      <w:pPr>
        <w:pStyle w:val="ECHRParaQuote"/>
      </w:pPr>
      <w:r w:rsidRPr="00B23DEB">
        <w:t>(4) ascertain whether the victims</w:t>
      </w:r>
      <w:r w:rsidR="00B23DEB" w:rsidRPr="00B23DEB">
        <w:t>’</w:t>
      </w:r>
      <w:r w:rsidRPr="00B23DEB">
        <w:t xml:space="preserve"> bodies have injuries typical of an explosion of explosive or flammable material, or of some other sudden release of energy;</w:t>
      </w:r>
    </w:p>
    <w:p w:rsidR="002541B8" w:rsidRPr="00B23DEB" w:rsidRDefault="002541B8" w:rsidP="00B23DEB">
      <w:pPr>
        <w:pStyle w:val="ECHRParaQuote"/>
      </w:pPr>
      <w:r w:rsidRPr="00B23DEB">
        <w:t>(5) ascertain whether the method used by the Russian experts to examine the corpses and carry out the autopsies was consistent with the current standards, and whether the conclusions of their forensic report with regard to the injuries, the circumstances in which they had occurred and the cause of death correspond to the conclusions of the report established by the [current] team of experts;</w:t>
      </w:r>
    </w:p>
    <w:p w:rsidR="00181422" w:rsidRPr="00B23DEB" w:rsidRDefault="002541B8" w:rsidP="00B23DEB">
      <w:pPr>
        <w:pStyle w:val="ECHRParaQuote"/>
      </w:pPr>
      <w:r w:rsidRPr="00B23DEB">
        <w:t>(6) determine the identity of the victims by comparing the results of the genetic testing with their genetic profiles, established at an earlier stage of the proceedings</w:t>
      </w:r>
      <w:r w:rsidR="00181422" w:rsidRPr="00B23DEB">
        <w:t>...</w:t>
      </w:r>
      <w:r w:rsidRPr="00B23DEB">
        <w:t>;</w:t>
      </w:r>
    </w:p>
    <w:p w:rsidR="002541B8" w:rsidRPr="00B23DEB" w:rsidRDefault="002541B8" w:rsidP="00B23DEB">
      <w:pPr>
        <w:pStyle w:val="ECHRParaQuote"/>
      </w:pPr>
      <w:r w:rsidRPr="00B23DEB">
        <w:t>(7) take samples from the victims</w:t>
      </w:r>
      <w:r w:rsidR="00B23DEB" w:rsidRPr="00B23DEB">
        <w:t>’</w:t>
      </w:r>
      <w:r w:rsidRPr="00B23DEB">
        <w:t xml:space="preserve"> remains for further toxicological, </w:t>
      </w:r>
      <w:r w:rsidRPr="00B23DEB">
        <w:rPr>
          <w:lang w:val="en"/>
        </w:rPr>
        <w:t>histopathological, physicochemical and genetic examination.”</w:t>
      </w:r>
    </w:p>
    <w:p w:rsidR="00181422" w:rsidRPr="00B23DEB" w:rsidRDefault="002541B8" w:rsidP="00B23DEB">
      <w:pPr>
        <w:pStyle w:val="ECHRPara"/>
      </w:pPr>
      <w:r w:rsidRPr="00B23DEB">
        <w:t>The prosecutor further ordered (point IV of the decision) that for the purpose of carrying out the above-mentioned measures, the bodies of eighty-three victims be exhumed on dates to be determined in separate orders.</w:t>
      </w:r>
    </w:p>
    <w:p w:rsidR="00C25C70" w:rsidRPr="00B23DEB" w:rsidRDefault="002541B8" w:rsidP="00B23DEB">
      <w:pPr>
        <w:pStyle w:val="ECHRPara"/>
      </w:pPr>
      <w:r w:rsidRPr="00B23DEB">
        <w:fldChar w:fldCharType="begin"/>
      </w:r>
      <w:r w:rsidRPr="00B23DEB">
        <w:instrText xml:space="preserve"> SEQ level0 \*arabic </w:instrText>
      </w:r>
      <w:r w:rsidRPr="00B23DEB">
        <w:fldChar w:fldCharType="separate"/>
      </w:r>
      <w:r w:rsidR="006549E3">
        <w:rPr>
          <w:noProof/>
        </w:rPr>
        <w:t>15</w:t>
      </w:r>
      <w:r w:rsidRPr="00B23DEB">
        <w:fldChar w:fldCharType="end"/>
      </w:r>
      <w:r w:rsidRPr="00B23DEB">
        <w:t>.  </w:t>
      </w:r>
      <w:r w:rsidR="00C25C70" w:rsidRPr="00B23DEB">
        <w:t xml:space="preserve">In his decision, the prosecutor noted that directly after the crash, </w:t>
      </w:r>
      <w:r w:rsidR="00BB32C1" w:rsidRPr="00B23DEB">
        <w:t xml:space="preserve">the Russian authorities had carried out </w:t>
      </w:r>
      <w:r w:rsidR="00C25C70" w:rsidRPr="00B23DEB">
        <w:t>autopsies on the victims</w:t>
      </w:r>
      <w:r w:rsidR="00B23DEB" w:rsidRPr="00B23DEB">
        <w:t>’</w:t>
      </w:r>
      <w:r w:rsidR="00C25C70" w:rsidRPr="00B23DEB">
        <w:t xml:space="preserve"> bodies and identification</w:t>
      </w:r>
      <w:r w:rsidR="00BB32C1" w:rsidRPr="00B23DEB">
        <w:t>.</w:t>
      </w:r>
      <w:r w:rsidR="00181422" w:rsidRPr="00B23DEB">
        <w:t xml:space="preserve"> </w:t>
      </w:r>
      <w:r w:rsidR="00C25C70" w:rsidRPr="00B23DEB">
        <w:t>The victims</w:t>
      </w:r>
      <w:r w:rsidR="00B23DEB" w:rsidRPr="00B23DEB">
        <w:t>’</w:t>
      </w:r>
      <w:r w:rsidR="00C25C70" w:rsidRPr="00B23DEB">
        <w:t xml:space="preserve"> remains </w:t>
      </w:r>
      <w:r w:rsidR="001956D0" w:rsidRPr="00B23DEB">
        <w:t xml:space="preserve">had </w:t>
      </w:r>
      <w:r w:rsidR="00C25C70" w:rsidRPr="00B23DEB">
        <w:t xml:space="preserve">subsequently </w:t>
      </w:r>
      <w:r w:rsidR="001956D0" w:rsidRPr="00B23DEB">
        <w:t xml:space="preserve">been </w:t>
      </w:r>
      <w:r w:rsidR="00C25C70" w:rsidRPr="00B23DEB">
        <w:t xml:space="preserve">repatriated to Poland and </w:t>
      </w:r>
      <w:r w:rsidR="0044245E" w:rsidRPr="00B23DEB">
        <w:t>buried</w:t>
      </w:r>
      <w:r w:rsidR="00C25C70" w:rsidRPr="00B23DEB">
        <w:t>. In the course of its investigation, the Warsaw Regional Military Prosecutor</w:t>
      </w:r>
      <w:r w:rsidR="00B23DEB" w:rsidRPr="00B23DEB">
        <w:t>’</w:t>
      </w:r>
      <w:r w:rsidR="00C25C70" w:rsidRPr="00B23DEB">
        <w:t xml:space="preserve">s Office </w:t>
      </w:r>
      <w:r w:rsidR="001956D0" w:rsidRPr="00B23DEB">
        <w:t xml:space="preserve">had </w:t>
      </w:r>
      <w:r w:rsidR="00454179" w:rsidRPr="00B23DEB">
        <w:t xml:space="preserve">started to have </w:t>
      </w:r>
      <w:r w:rsidR="00C25C70" w:rsidRPr="00B23DEB">
        <w:t>doubts about the diligence of the Russian experts in identifying the victims and the injuries sustained by them. From August 2011 the Military Prosecutor</w:t>
      </w:r>
      <w:r w:rsidR="00B23DEB" w:rsidRPr="00B23DEB">
        <w:t>’</w:t>
      </w:r>
      <w:r w:rsidR="00C25C70" w:rsidRPr="00B23DEB">
        <w:t xml:space="preserve">s Office </w:t>
      </w:r>
      <w:r w:rsidR="001956D0" w:rsidRPr="00B23DEB">
        <w:t xml:space="preserve">had </w:t>
      </w:r>
      <w:r w:rsidR="00C25C70" w:rsidRPr="00B23DEB">
        <w:t xml:space="preserve">carried out exhumations and autopsies on nine victims of the crash. The results of those examinations </w:t>
      </w:r>
      <w:r w:rsidR="001956D0" w:rsidRPr="00B23DEB">
        <w:t xml:space="preserve">had </w:t>
      </w:r>
      <w:r w:rsidR="00C25C70" w:rsidRPr="00B23DEB">
        <w:t xml:space="preserve">confirmed that the Russian experts had not properly recorded the injuries sustained by the victims and, in </w:t>
      </w:r>
      <w:r w:rsidR="00BB32C1" w:rsidRPr="00B23DEB">
        <w:t xml:space="preserve">the case of </w:t>
      </w:r>
      <w:r w:rsidR="00445DAD" w:rsidRPr="00B23DEB">
        <w:t xml:space="preserve">six out of </w:t>
      </w:r>
      <w:r w:rsidR="00BB32C1" w:rsidRPr="00B23DEB">
        <w:t xml:space="preserve">the </w:t>
      </w:r>
      <w:r w:rsidR="00445DAD" w:rsidRPr="00B23DEB">
        <w:t>nine bodies</w:t>
      </w:r>
      <w:r w:rsidR="00BB32C1" w:rsidRPr="00B23DEB">
        <w:t xml:space="preserve"> exhumed</w:t>
      </w:r>
      <w:r w:rsidR="00445DAD" w:rsidRPr="00B23DEB">
        <w:t xml:space="preserve">, </w:t>
      </w:r>
      <w:r w:rsidR="00C25C70" w:rsidRPr="00B23DEB">
        <w:t>had wron</w:t>
      </w:r>
      <w:r w:rsidR="00181422" w:rsidRPr="00B23DEB">
        <w:t>gly identified the victims. The </w:t>
      </w:r>
      <w:r w:rsidR="00C25C70" w:rsidRPr="00B23DEB">
        <w:t>prosecutor stated that, in the circumstances, doubts also remained in respect of the other victims of the crash. He further intended to resolve doubts concerning the alleged explosion on board.</w:t>
      </w:r>
    </w:p>
    <w:p w:rsidR="00181422" w:rsidRPr="00B23DEB" w:rsidRDefault="00C25C70" w:rsidP="00B23DEB">
      <w:pPr>
        <w:pStyle w:val="ECHRPara"/>
      </w:pPr>
      <w:r w:rsidRPr="00B23DEB">
        <w:fldChar w:fldCharType="begin"/>
      </w:r>
      <w:r w:rsidRPr="00B23DEB">
        <w:instrText xml:space="preserve"> SEQ level0 \*arabic </w:instrText>
      </w:r>
      <w:r w:rsidRPr="00B23DEB">
        <w:fldChar w:fldCharType="separate"/>
      </w:r>
      <w:r w:rsidR="006549E3">
        <w:rPr>
          <w:noProof/>
        </w:rPr>
        <w:t>16</w:t>
      </w:r>
      <w:r w:rsidRPr="00B23DEB">
        <w:fldChar w:fldCharType="end"/>
      </w:r>
      <w:r w:rsidRPr="00B23DEB">
        <w:t>.  On 12 October 2016 the second applicant wrote a letter to the Minister of Justice – Prosecutor General, objecting to the exhumation of her husband</w:t>
      </w:r>
      <w:r w:rsidR="00B23DEB" w:rsidRPr="00B23DEB">
        <w:t>’</w:t>
      </w:r>
      <w:r w:rsidRPr="00B23DEB">
        <w:t>s body. On 14 October 2016 the first applicant wrote a similar letter to the State Prosecutor</w:t>
      </w:r>
      <w:r w:rsidR="00B23DEB" w:rsidRPr="00B23DEB">
        <w:t>’</w:t>
      </w:r>
      <w:r w:rsidRPr="00B23DEB">
        <w:t>s Office</w:t>
      </w:r>
      <w:r w:rsidR="00A17837" w:rsidRPr="00B23DEB">
        <w:t>, stating that</w:t>
      </w:r>
      <w:r w:rsidRPr="00B23DEB">
        <w:t xml:space="preserve"> </w:t>
      </w:r>
      <w:r w:rsidR="00A17837" w:rsidRPr="00B23DEB">
        <w:t>s</w:t>
      </w:r>
      <w:r w:rsidRPr="00B23DEB">
        <w:t>he was convinced that her late husband had been properly identified. She had been present at the Moscow Forensic Institute where the identification of the victims had been carried out and had seen the body of her husband herself. The State Prosecutor</w:t>
      </w:r>
      <w:r w:rsidR="00B23DEB" w:rsidRPr="00B23DEB">
        <w:t>’</w:t>
      </w:r>
      <w:r w:rsidRPr="00B23DEB">
        <w:t>s Office replied in the negative to both letters.</w:t>
      </w:r>
      <w:r w:rsidR="000925E9" w:rsidRPr="00B23DEB">
        <w:t xml:space="preserve"> </w:t>
      </w:r>
      <w:r w:rsidR="0080362C" w:rsidRPr="00B23DEB">
        <w:t xml:space="preserve">The second applicant was </w:t>
      </w:r>
      <w:r w:rsidR="00E11FD7" w:rsidRPr="00B23DEB">
        <w:t xml:space="preserve">also </w:t>
      </w:r>
      <w:r w:rsidR="0080362C" w:rsidRPr="00B23DEB">
        <w:t>informed</w:t>
      </w:r>
      <w:r w:rsidR="00AC44C6" w:rsidRPr="00B23DEB">
        <w:t xml:space="preserve"> </w:t>
      </w:r>
      <w:r w:rsidR="00E11FD7" w:rsidRPr="00B23DEB">
        <w:t xml:space="preserve">that a meeting with the relatives of the victims and the prosecutors would be scheduled prior to each exhumation in order to </w:t>
      </w:r>
      <w:r w:rsidR="00510FA0" w:rsidRPr="00B23DEB">
        <w:t xml:space="preserve">explain </w:t>
      </w:r>
      <w:r w:rsidR="00E11FD7" w:rsidRPr="00B23DEB">
        <w:t xml:space="preserve">the reasons behind </w:t>
      </w:r>
      <w:r w:rsidR="009B29DE" w:rsidRPr="00B23DEB">
        <w:t>the decision to carry out the exhumations.</w:t>
      </w:r>
    </w:p>
    <w:p w:rsidR="00C25C70" w:rsidRPr="00B23DEB" w:rsidRDefault="00C25C70" w:rsidP="00B23DEB">
      <w:pPr>
        <w:pStyle w:val="ECHRPara"/>
      </w:pPr>
      <w:r w:rsidRPr="00B23DEB">
        <w:fldChar w:fldCharType="begin"/>
      </w:r>
      <w:r w:rsidRPr="00B23DEB">
        <w:instrText xml:space="preserve"> SEQ level0 \*arabic </w:instrText>
      </w:r>
      <w:r w:rsidRPr="00B23DEB">
        <w:fldChar w:fldCharType="separate"/>
      </w:r>
      <w:r w:rsidR="006549E3">
        <w:rPr>
          <w:noProof/>
        </w:rPr>
        <w:t>17</w:t>
      </w:r>
      <w:r w:rsidRPr="00B23DEB">
        <w:fldChar w:fldCharType="end"/>
      </w:r>
      <w:r w:rsidRPr="00B23DEB">
        <w:t>.  The prosecutor</w:t>
      </w:r>
      <w:r w:rsidR="00B23DEB" w:rsidRPr="00B23DEB">
        <w:t>’</w:t>
      </w:r>
      <w:r w:rsidRPr="00B23DEB">
        <w:t>s decision of 7 October 2016 was served on the applicants</w:t>
      </w:r>
      <w:r w:rsidR="00B23DEB" w:rsidRPr="00B23DEB">
        <w:t>’</w:t>
      </w:r>
      <w:r w:rsidRPr="00B23DEB">
        <w:t xml:space="preserve"> lawyer on 20 October 2016.</w:t>
      </w:r>
    </w:p>
    <w:p w:rsidR="00C25C70" w:rsidRPr="00B23DEB" w:rsidRDefault="00C25C70" w:rsidP="00B23DEB">
      <w:pPr>
        <w:pStyle w:val="ECHRPara"/>
      </w:pPr>
      <w:r w:rsidRPr="00B23DEB">
        <w:fldChar w:fldCharType="begin"/>
      </w:r>
      <w:r w:rsidRPr="00B23DEB">
        <w:instrText xml:space="preserve"> SEQ level0 \*arabic </w:instrText>
      </w:r>
      <w:r w:rsidRPr="00B23DEB">
        <w:fldChar w:fldCharType="separate"/>
      </w:r>
      <w:r w:rsidR="006549E3">
        <w:rPr>
          <w:noProof/>
        </w:rPr>
        <w:t>18</w:t>
      </w:r>
      <w:r w:rsidRPr="00B23DEB">
        <w:fldChar w:fldCharType="end"/>
      </w:r>
      <w:r w:rsidRPr="00B23DEB">
        <w:t xml:space="preserve">.  On 27 October 2016 the applicants personally and through their lawyers </w:t>
      </w:r>
      <w:r w:rsidR="002D371C" w:rsidRPr="00B23DEB">
        <w:t xml:space="preserve">lodged </w:t>
      </w:r>
      <w:r w:rsidRPr="00B23DEB">
        <w:t>interlocutory appeals (</w:t>
      </w:r>
      <w:r w:rsidRPr="00B23DEB">
        <w:rPr>
          <w:i/>
        </w:rPr>
        <w:t>zażalenie</w:t>
      </w:r>
      <w:r w:rsidRPr="00B23DEB">
        <w:t>) against the prosecutor</w:t>
      </w:r>
      <w:r w:rsidR="00B23DEB" w:rsidRPr="00B23DEB">
        <w:t>’</w:t>
      </w:r>
      <w:r w:rsidRPr="00B23DEB">
        <w:t>s decision of 7 October 2016. They objected to the exhumation of their husbands</w:t>
      </w:r>
      <w:r w:rsidR="00B23DEB" w:rsidRPr="00B23DEB">
        <w:t>’</w:t>
      </w:r>
      <w:r w:rsidRPr="00B23DEB">
        <w:t xml:space="preserve"> remains and asked that that part of the decision be reversed.</w:t>
      </w:r>
    </w:p>
    <w:p w:rsidR="00181422" w:rsidRPr="00B23DEB" w:rsidRDefault="00C25C70" w:rsidP="00B23DEB">
      <w:pPr>
        <w:pStyle w:val="ECHRPara"/>
      </w:pPr>
      <w:r w:rsidRPr="00B23DEB">
        <w:fldChar w:fldCharType="begin"/>
      </w:r>
      <w:r w:rsidRPr="00B23DEB">
        <w:instrText xml:space="preserve"> SEQ level0 \*arabic </w:instrText>
      </w:r>
      <w:r w:rsidRPr="00B23DEB">
        <w:fldChar w:fldCharType="separate"/>
      </w:r>
      <w:r w:rsidR="006549E3">
        <w:rPr>
          <w:noProof/>
        </w:rPr>
        <w:t>19</w:t>
      </w:r>
      <w:r w:rsidRPr="00B23DEB">
        <w:fldChar w:fldCharType="end"/>
      </w:r>
      <w:r w:rsidRPr="00B23DEB">
        <w:t>.  The applicants argued that the prosecutor had applied Article 209 § 1 and Article 210 of the CCP without any consideration for the relevant provisions of the Constitution. Furthermore, the prosecutor</w:t>
      </w:r>
      <w:r w:rsidR="00B23DEB" w:rsidRPr="00B23DEB">
        <w:t>’</w:t>
      </w:r>
      <w:r w:rsidRPr="00B23DEB">
        <w:t xml:space="preserve">s decision had breached Article 2 § 1 (3) of the CCP, which provided that criminal proceedings had to respect </w:t>
      </w:r>
      <w:r w:rsidR="002D371C" w:rsidRPr="00B23DEB">
        <w:t xml:space="preserve">the </w:t>
      </w:r>
      <w:r w:rsidR="002916EE" w:rsidRPr="00B23DEB">
        <w:t>legal interest</w:t>
      </w:r>
      <w:r w:rsidR="00F33A9E" w:rsidRPr="00B23DEB">
        <w:t>s</w:t>
      </w:r>
      <w:r w:rsidR="002916EE" w:rsidRPr="00B23DEB">
        <w:t xml:space="preserve"> of </w:t>
      </w:r>
      <w:r w:rsidRPr="00B23DEB">
        <w:t>a victim</w:t>
      </w:r>
      <w:r w:rsidR="002916EE" w:rsidRPr="00B23DEB">
        <w:t xml:space="preserve">. </w:t>
      </w:r>
      <w:r w:rsidRPr="00B23DEB">
        <w:t xml:space="preserve">The applicants further alleged that the reasons for the decision had been vague and sparse. The prosecutor had failed to properly establish that </w:t>
      </w:r>
      <w:r w:rsidR="002D371C" w:rsidRPr="00B23DEB">
        <w:t xml:space="preserve">the </w:t>
      </w:r>
      <w:r w:rsidRPr="00B23DEB">
        <w:t>exhumation of their husbands</w:t>
      </w:r>
      <w:r w:rsidR="00B23DEB" w:rsidRPr="00B23DEB">
        <w:t>’</w:t>
      </w:r>
      <w:r w:rsidRPr="00B23DEB">
        <w:t xml:space="preserve"> remains </w:t>
      </w:r>
      <w:r w:rsidR="00A17837" w:rsidRPr="00B23DEB">
        <w:t xml:space="preserve">was </w:t>
      </w:r>
      <w:r w:rsidRPr="00B23DEB">
        <w:t xml:space="preserve">necessary, </w:t>
      </w:r>
      <w:r w:rsidR="002916EE" w:rsidRPr="00B23DEB">
        <w:t xml:space="preserve">since </w:t>
      </w:r>
      <w:r w:rsidR="002D371C" w:rsidRPr="00B23DEB">
        <w:t xml:space="preserve">such a </w:t>
      </w:r>
      <w:r w:rsidR="002916EE" w:rsidRPr="00B23DEB">
        <w:t xml:space="preserve">measure should be </w:t>
      </w:r>
      <w:r w:rsidR="002D371C" w:rsidRPr="00B23DEB">
        <w:t xml:space="preserve">one </w:t>
      </w:r>
      <w:r w:rsidR="002012BF" w:rsidRPr="00B23DEB">
        <w:t xml:space="preserve">of </w:t>
      </w:r>
      <w:r w:rsidR="002916EE" w:rsidRPr="00B23DEB">
        <w:t>last resort.</w:t>
      </w:r>
    </w:p>
    <w:p w:rsidR="00C25C70" w:rsidRPr="00B23DEB" w:rsidRDefault="00C25C70" w:rsidP="00B23DEB">
      <w:pPr>
        <w:pStyle w:val="ECHRPara"/>
      </w:pPr>
      <w:r w:rsidRPr="00B23DEB">
        <w:fldChar w:fldCharType="begin"/>
      </w:r>
      <w:r w:rsidRPr="00B23DEB">
        <w:instrText xml:space="preserve"> SEQ level0 \*arabic </w:instrText>
      </w:r>
      <w:r w:rsidRPr="00B23DEB">
        <w:fldChar w:fldCharType="separate"/>
      </w:r>
      <w:r w:rsidR="006549E3">
        <w:rPr>
          <w:noProof/>
        </w:rPr>
        <w:t>20</w:t>
      </w:r>
      <w:r w:rsidRPr="00B23DEB">
        <w:fldChar w:fldCharType="end"/>
      </w:r>
      <w:r w:rsidRPr="00B23DEB">
        <w:t>.  In the applicants</w:t>
      </w:r>
      <w:r w:rsidR="00B23DEB" w:rsidRPr="00B23DEB">
        <w:t>’</w:t>
      </w:r>
      <w:r w:rsidRPr="00B23DEB">
        <w:t xml:space="preserve"> view, the decision on exhumation violated the respect due to the remains of their late husbands</w:t>
      </w:r>
      <w:r w:rsidR="002D371C" w:rsidRPr="00B23DEB">
        <w:t>,</w:t>
      </w:r>
      <w:r w:rsidRPr="00B23DEB">
        <w:t xml:space="preserve"> as well as their personal right to respect for the memory of a late relative (</w:t>
      </w:r>
      <w:r w:rsidRPr="00B23DEB">
        <w:rPr>
          <w:i/>
        </w:rPr>
        <w:t>kult osoby zmarłej</w:t>
      </w:r>
      <w:r w:rsidRPr="00B23DEB">
        <w:t xml:space="preserve">). Furthermore, in </w:t>
      </w:r>
      <w:r w:rsidR="002D371C" w:rsidRPr="00B23DEB">
        <w:t xml:space="preserve">issuing a general </w:t>
      </w:r>
      <w:r w:rsidRPr="00B23DEB">
        <w:t xml:space="preserve">order </w:t>
      </w:r>
      <w:r w:rsidR="002D371C" w:rsidRPr="00B23DEB">
        <w:t xml:space="preserve">to exhume </w:t>
      </w:r>
      <w:r w:rsidRPr="00B23DEB">
        <w:t>all the victims, without taking into account their individual circumstances, the prosecutor had demonstrated a lack of respect for the victims and had violated the families</w:t>
      </w:r>
      <w:r w:rsidR="00B23DEB" w:rsidRPr="00B23DEB">
        <w:t>’</w:t>
      </w:r>
      <w:r w:rsidRPr="00B23DEB">
        <w:t xml:space="preserve"> right to dignity.</w:t>
      </w:r>
    </w:p>
    <w:p w:rsidR="00C25C70" w:rsidRPr="00B23DEB" w:rsidRDefault="00C25C70" w:rsidP="00B23DEB">
      <w:pPr>
        <w:pStyle w:val="ECHRPara"/>
      </w:pPr>
      <w:r w:rsidRPr="00B23DEB">
        <w:fldChar w:fldCharType="begin"/>
      </w:r>
      <w:r w:rsidRPr="00B23DEB">
        <w:instrText xml:space="preserve"> SEQ level0 \*arabic </w:instrText>
      </w:r>
      <w:r w:rsidRPr="00B23DEB">
        <w:fldChar w:fldCharType="separate"/>
      </w:r>
      <w:r w:rsidR="006549E3">
        <w:rPr>
          <w:noProof/>
        </w:rPr>
        <w:t>21</w:t>
      </w:r>
      <w:r w:rsidRPr="00B23DEB">
        <w:fldChar w:fldCharType="end"/>
      </w:r>
      <w:r w:rsidRPr="00B23DEB">
        <w:t xml:space="preserve">.  The applicants invoked Articles 2, 30, 45 and 47 of the Constitution, alleging, </w:t>
      </w:r>
      <w:r w:rsidRPr="00B23DEB">
        <w:rPr>
          <w:i/>
        </w:rPr>
        <w:t>inter alia</w:t>
      </w:r>
      <w:r w:rsidRPr="00B23DEB">
        <w:t>, that the prosecutor had applied the provisions of the CCP in breach of a person</w:t>
      </w:r>
      <w:r w:rsidR="00B23DEB" w:rsidRPr="00B23DEB">
        <w:t>’</w:t>
      </w:r>
      <w:r w:rsidRPr="00B23DEB">
        <w:t xml:space="preserve">s inherent right to dignity. They further relied on Articles 3 and 8 of the Convention. The applicants also claimed that the prosecutor had failed to inform them of their right to lodge an </w:t>
      </w:r>
      <w:r w:rsidR="002916EE" w:rsidRPr="00B23DEB">
        <w:t xml:space="preserve">interlocutory </w:t>
      </w:r>
      <w:r w:rsidRPr="00B23DEB">
        <w:t>appeal against his decision.</w:t>
      </w:r>
    </w:p>
    <w:p w:rsidR="00C25C70" w:rsidRPr="00B23DEB" w:rsidRDefault="00C25C70" w:rsidP="00B23DEB">
      <w:pPr>
        <w:pStyle w:val="ECHRPara"/>
      </w:pPr>
      <w:r w:rsidRPr="00B23DEB">
        <w:fldChar w:fldCharType="begin"/>
      </w:r>
      <w:r w:rsidRPr="00B23DEB">
        <w:instrText xml:space="preserve"> SEQ level0 \*arabic </w:instrText>
      </w:r>
      <w:r w:rsidRPr="00B23DEB">
        <w:fldChar w:fldCharType="separate"/>
      </w:r>
      <w:r w:rsidR="006549E3">
        <w:rPr>
          <w:noProof/>
        </w:rPr>
        <w:t>22</w:t>
      </w:r>
      <w:r w:rsidRPr="00B23DEB">
        <w:fldChar w:fldCharType="end"/>
      </w:r>
      <w:r w:rsidRPr="00B23DEB">
        <w:t>.  Lastly, the</w:t>
      </w:r>
      <w:r w:rsidR="002D371C" w:rsidRPr="00B23DEB">
        <w:t xml:space="preserve"> applicants</w:t>
      </w:r>
      <w:r w:rsidRPr="00B23DEB">
        <w:t xml:space="preserve"> relied on a letter dated 25 October 2016 from the Ombudsman to the Prosecutor General presenting arguments in favour of a judicial review of the prosecutor</w:t>
      </w:r>
      <w:r w:rsidR="00B23DEB" w:rsidRPr="00B23DEB">
        <w:t>’</w:t>
      </w:r>
      <w:r w:rsidRPr="00B23DEB">
        <w:t>s decision on exhumation.</w:t>
      </w:r>
      <w:r w:rsidR="002916EE" w:rsidRPr="00B23DEB">
        <w:t xml:space="preserve"> </w:t>
      </w:r>
      <w:r w:rsidR="00181422" w:rsidRPr="00B23DEB">
        <w:t>The </w:t>
      </w:r>
      <w:r w:rsidRPr="00B23DEB">
        <w:t xml:space="preserve">Ombudsman </w:t>
      </w:r>
      <w:r w:rsidR="002916EE" w:rsidRPr="00B23DEB">
        <w:t xml:space="preserve">considered </w:t>
      </w:r>
      <w:r w:rsidRPr="00B23DEB">
        <w:t xml:space="preserve">that exhumation of human remains carried out </w:t>
      </w:r>
      <w:r w:rsidR="002D371C" w:rsidRPr="00B23DEB">
        <w:t xml:space="preserve">following </w:t>
      </w:r>
      <w:r w:rsidRPr="00B23DEB">
        <w:t>a prosecutor</w:t>
      </w:r>
      <w:r w:rsidR="00B23DEB" w:rsidRPr="00B23DEB">
        <w:t>’</w:t>
      </w:r>
      <w:r w:rsidRPr="00B23DEB">
        <w:t>s decision constituted an interference with the right to respect for the memory of a late relative, one of the personal rights protected by the Civil Code. Those personal rights constituted part of an individual</w:t>
      </w:r>
      <w:r w:rsidR="00B23DEB" w:rsidRPr="00B23DEB">
        <w:t>’</w:t>
      </w:r>
      <w:r w:rsidRPr="00B23DEB">
        <w:t>s private life. Under Article 47 of the Constitution, everyone ha</w:t>
      </w:r>
      <w:r w:rsidR="002D371C" w:rsidRPr="00B23DEB">
        <w:t>d</w:t>
      </w:r>
      <w:r w:rsidRPr="00B23DEB">
        <w:t xml:space="preserve"> the right to legal protection of his or her private life. In the light of th</w:t>
      </w:r>
      <w:r w:rsidR="002D371C" w:rsidRPr="00B23DEB">
        <w:t>at</w:t>
      </w:r>
      <w:r w:rsidRPr="00B23DEB">
        <w:t xml:space="preserve"> provision, everyone who considered that his or her private life had been violated by an act of the authorities had to have the opportunity to seek legal protection. Relatives, therefore, had to be provided with legal remedies with a view to determining whether the prosecutor</w:t>
      </w:r>
      <w:r w:rsidR="00B23DEB" w:rsidRPr="00B23DEB">
        <w:t>’</w:t>
      </w:r>
      <w:r w:rsidRPr="00B23DEB">
        <w:t>s decision on exhumation was disproportionate.</w:t>
      </w:r>
    </w:p>
    <w:p w:rsidR="00C25C70" w:rsidRPr="00B23DEB" w:rsidRDefault="00C25C70" w:rsidP="00B23DEB">
      <w:pPr>
        <w:pStyle w:val="ECHRPara"/>
      </w:pPr>
      <w:r w:rsidRPr="00B23DEB">
        <w:fldChar w:fldCharType="begin"/>
      </w:r>
      <w:r w:rsidRPr="00B23DEB">
        <w:instrText xml:space="preserve"> SEQ level0 \*arabic </w:instrText>
      </w:r>
      <w:r w:rsidRPr="00B23DEB">
        <w:fldChar w:fldCharType="separate"/>
      </w:r>
      <w:r w:rsidR="006549E3">
        <w:rPr>
          <w:noProof/>
        </w:rPr>
        <w:t>23</w:t>
      </w:r>
      <w:r w:rsidRPr="00B23DEB">
        <w:fldChar w:fldCharType="end"/>
      </w:r>
      <w:r w:rsidRPr="00B23DEB">
        <w:t>.  On 23 and 24 November and 6 December 2016 respectively</w:t>
      </w:r>
      <w:r w:rsidR="002D371C" w:rsidRPr="00B23DEB">
        <w:t>,</w:t>
      </w:r>
      <w:r w:rsidRPr="00B23DEB">
        <w:t xml:space="preserve"> the prosecutor refused to entertain the applicants</w:t>
      </w:r>
      <w:r w:rsidR="00B23DEB" w:rsidRPr="00B23DEB">
        <w:t>’</w:t>
      </w:r>
      <w:r w:rsidRPr="00B23DEB">
        <w:t xml:space="preserve"> interlocutory appeals, finding them inadmissible in law. He stated that the applicants had wrongly interpreted his decision of 7 October 2016 in considering that it constituted a basis for </w:t>
      </w:r>
      <w:r w:rsidR="00A17837" w:rsidRPr="00B23DEB">
        <w:t xml:space="preserve">the </w:t>
      </w:r>
      <w:r w:rsidRPr="00B23DEB">
        <w:t>exhumation of their husbands</w:t>
      </w:r>
      <w:r w:rsidR="00B23DEB" w:rsidRPr="00B23DEB">
        <w:t>’</w:t>
      </w:r>
      <w:r w:rsidRPr="00B23DEB">
        <w:t xml:space="preserve"> remains. </w:t>
      </w:r>
      <w:r w:rsidR="00B35024" w:rsidRPr="00B23DEB">
        <w:t>T</w:t>
      </w:r>
      <w:r w:rsidRPr="00B23DEB">
        <w:t>he exhumation of their late husbands</w:t>
      </w:r>
      <w:r w:rsidR="00B23DEB" w:rsidRPr="00B23DEB">
        <w:t>’</w:t>
      </w:r>
      <w:r w:rsidRPr="00B23DEB">
        <w:t xml:space="preserve"> remains would be decided in a separate</w:t>
      </w:r>
      <w:r w:rsidR="00B35024" w:rsidRPr="00B23DEB">
        <w:t xml:space="preserve"> order</w:t>
      </w:r>
      <w:r w:rsidRPr="00B23DEB">
        <w:t>, specifying the time and place of exhumation. Nonetheless, he stated</w:t>
      </w:r>
      <w:r w:rsidR="00181422" w:rsidRPr="00B23DEB">
        <w:t xml:space="preserve"> that a </w:t>
      </w:r>
      <w:r w:rsidRPr="00B23DEB">
        <w:t xml:space="preserve">decision on exhumation under Article 210 of the CCP was not amenable to appeal. His decisions refusing to proceed with the interlocutory appeals did not contain any reference to </w:t>
      </w:r>
      <w:r w:rsidR="00A17837" w:rsidRPr="00B23DEB">
        <w:t xml:space="preserve">the </w:t>
      </w:r>
      <w:r w:rsidRPr="00B23DEB">
        <w:t xml:space="preserve">constitutional </w:t>
      </w:r>
      <w:r w:rsidR="002916EE" w:rsidRPr="00B23DEB">
        <w:t xml:space="preserve">and Convention </w:t>
      </w:r>
      <w:r w:rsidRPr="00B23DEB">
        <w:t>arguments raised by the applicants.</w:t>
      </w:r>
    </w:p>
    <w:p w:rsidR="00181422" w:rsidRPr="00B23DEB" w:rsidRDefault="00C25C70" w:rsidP="00B23DEB">
      <w:pPr>
        <w:pStyle w:val="ECHRPara"/>
      </w:pPr>
      <w:r w:rsidRPr="00B23DEB">
        <w:fldChar w:fldCharType="begin"/>
      </w:r>
      <w:r w:rsidRPr="00B23DEB">
        <w:instrText xml:space="preserve"> SEQ level0 \*arabic </w:instrText>
      </w:r>
      <w:r w:rsidRPr="00B23DEB">
        <w:fldChar w:fldCharType="separate"/>
      </w:r>
      <w:r w:rsidR="006549E3">
        <w:rPr>
          <w:noProof/>
        </w:rPr>
        <w:t>24</w:t>
      </w:r>
      <w:r w:rsidRPr="00B23DEB">
        <w:fldChar w:fldCharType="end"/>
      </w:r>
      <w:r w:rsidRPr="00B23DEB">
        <w:t>.  On 6, 7 and 21 December 2016 respectively</w:t>
      </w:r>
      <w:r w:rsidR="002D371C" w:rsidRPr="00B23DEB">
        <w:t>,</w:t>
      </w:r>
      <w:r w:rsidRPr="00B23DEB">
        <w:t xml:space="preserve"> the applicants </w:t>
      </w:r>
      <w:r w:rsidR="002D371C" w:rsidRPr="00B23DEB">
        <w:t xml:space="preserve">lodged </w:t>
      </w:r>
      <w:r w:rsidRPr="00B23DEB">
        <w:t>interlocutory appeals against the prosecutor</w:t>
      </w:r>
      <w:r w:rsidR="00B23DEB" w:rsidRPr="00B23DEB">
        <w:t>’</w:t>
      </w:r>
      <w:r w:rsidRPr="00B23DEB">
        <w:t>s decision with the Warsaw Regional Court. They alleged that the prosecutor</w:t>
      </w:r>
      <w:r w:rsidR="00B23DEB" w:rsidRPr="00B23DEB">
        <w:t>’</w:t>
      </w:r>
      <w:r w:rsidRPr="00B23DEB">
        <w:t xml:space="preserve">s decisions refusing to entertain their interlocutory appeals had violated the provisions of the Constitution (Articles 45, 47 and 77 § </w:t>
      </w:r>
      <w:r w:rsidR="009C5CE2" w:rsidRPr="00B23DEB">
        <w:t>2), the Convention (Articles 3, </w:t>
      </w:r>
      <w:r w:rsidRPr="00B23DEB">
        <w:t>8 and 13) and the CCP. In their view, a correct interpretation of the relevant provisions of the CCP, in the light of the Constitution and the protection of fundamental rights, should have resulted in the availability of an interlocutory appeal against the prosecutor</w:t>
      </w:r>
      <w:r w:rsidR="00B23DEB" w:rsidRPr="00B23DEB">
        <w:t>’</w:t>
      </w:r>
      <w:r w:rsidRPr="00B23DEB">
        <w:t>s decision of 7 Oc</w:t>
      </w:r>
      <w:r w:rsidR="002916EE" w:rsidRPr="00B23DEB">
        <w:t>tober 2016</w:t>
      </w:r>
      <w:r w:rsidRPr="00B23DEB">
        <w:t>.</w:t>
      </w:r>
    </w:p>
    <w:p w:rsidR="00C25C70" w:rsidRPr="00B23DEB" w:rsidRDefault="00C25C70" w:rsidP="00B23DEB">
      <w:pPr>
        <w:pStyle w:val="ECHRPara"/>
      </w:pPr>
      <w:r w:rsidRPr="00B23DEB">
        <w:fldChar w:fldCharType="begin"/>
      </w:r>
      <w:r w:rsidRPr="00B23DEB">
        <w:instrText xml:space="preserve"> SEQ level0 \*arabic </w:instrText>
      </w:r>
      <w:r w:rsidRPr="00B23DEB">
        <w:fldChar w:fldCharType="separate"/>
      </w:r>
      <w:r w:rsidR="006549E3">
        <w:rPr>
          <w:noProof/>
        </w:rPr>
        <w:t>25</w:t>
      </w:r>
      <w:r w:rsidRPr="00B23DEB">
        <w:fldChar w:fldCharType="end"/>
      </w:r>
      <w:r w:rsidRPr="00B23DEB">
        <w:t>.  The applicants invoked their right to dignity, the obligation to respect human remains and their right to respect for the memory of a late relative. They considered that the decision of 7 October 2016 concerned not only the appointment of a team of forensic experts but also the exhumation of their husbands</w:t>
      </w:r>
      <w:r w:rsidR="00B23DEB" w:rsidRPr="00B23DEB">
        <w:t>’</w:t>
      </w:r>
      <w:r w:rsidRPr="00B23DEB">
        <w:t xml:space="preserve"> remains. In their view</w:t>
      </w:r>
      <w:r w:rsidR="00181422" w:rsidRPr="00B23DEB">
        <w:t>, that decision predetermined a </w:t>
      </w:r>
      <w:r w:rsidRPr="00B23DEB">
        <w:t>decision to exhume the remains of their husbands; at a later date the prosecutor would only fix the exact date of the exhumation. The decision on exhumation constituted interference with the applicants</w:t>
      </w:r>
      <w:r w:rsidR="00B23DEB" w:rsidRPr="00B23DEB">
        <w:t>’</w:t>
      </w:r>
      <w:r w:rsidRPr="00B23DEB">
        <w:t xml:space="preserve"> legal interests and therefore it was constitutionally required that they be provided with a legal remedy aimed at verifying the prosecutor</w:t>
      </w:r>
      <w:r w:rsidR="00B23DEB" w:rsidRPr="00B23DEB">
        <w:t>’</w:t>
      </w:r>
      <w:r w:rsidRPr="00B23DEB">
        <w:t>s decision. The applicants also stated that the prosecutor had failed to respond to their arguments based on the Constitution and the Convention.</w:t>
      </w:r>
    </w:p>
    <w:p w:rsidR="00C25C70" w:rsidRPr="00B23DEB" w:rsidRDefault="00C25C70" w:rsidP="00B23DEB">
      <w:pPr>
        <w:pStyle w:val="ECHRPara"/>
      </w:pPr>
      <w:r w:rsidRPr="00B23DEB">
        <w:fldChar w:fldCharType="begin"/>
      </w:r>
      <w:r w:rsidRPr="00B23DEB">
        <w:instrText xml:space="preserve"> SEQ level0 \*arabic </w:instrText>
      </w:r>
      <w:r w:rsidRPr="00B23DEB">
        <w:fldChar w:fldCharType="separate"/>
      </w:r>
      <w:r w:rsidR="006549E3">
        <w:rPr>
          <w:noProof/>
        </w:rPr>
        <w:t>26</w:t>
      </w:r>
      <w:r w:rsidRPr="00B23DEB">
        <w:fldChar w:fldCharType="end"/>
      </w:r>
      <w:r w:rsidRPr="00B23DEB">
        <w:t xml:space="preserve">.  The applicants also </w:t>
      </w:r>
      <w:r w:rsidR="00947812" w:rsidRPr="00B23DEB">
        <w:t xml:space="preserve">reiterated </w:t>
      </w:r>
      <w:r w:rsidRPr="00B23DEB">
        <w:t xml:space="preserve">the arguments raised by the Ombudsman in his letter of 25 October, and </w:t>
      </w:r>
      <w:r w:rsidR="00947812" w:rsidRPr="00B23DEB">
        <w:t xml:space="preserve">in his subsequent </w:t>
      </w:r>
      <w:r w:rsidR="00C7382B" w:rsidRPr="00B23DEB">
        <w:t>letters of 2 </w:t>
      </w:r>
      <w:r w:rsidRPr="00B23DEB">
        <w:t>and 18 November 2016 to the Deputy Prosecutor General.</w:t>
      </w:r>
    </w:p>
    <w:p w:rsidR="00181422" w:rsidRPr="00B23DEB" w:rsidRDefault="00C25C70" w:rsidP="00B23DEB">
      <w:pPr>
        <w:pStyle w:val="ECHRPara"/>
      </w:pPr>
      <w:r w:rsidRPr="00B23DEB">
        <w:fldChar w:fldCharType="begin"/>
      </w:r>
      <w:r w:rsidRPr="00B23DEB">
        <w:instrText xml:space="preserve"> SEQ level0 \*arabic </w:instrText>
      </w:r>
      <w:r w:rsidRPr="00B23DEB">
        <w:fldChar w:fldCharType="separate"/>
      </w:r>
      <w:r w:rsidR="006549E3">
        <w:rPr>
          <w:noProof/>
        </w:rPr>
        <w:t>27</w:t>
      </w:r>
      <w:r w:rsidRPr="00B23DEB">
        <w:fldChar w:fldCharType="end"/>
      </w:r>
      <w:r w:rsidRPr="00B23DEB">
        <w:t xml:space="preserve">.  On 3 April 2017 the Warsaw Regional Court </w:t>
      </w:r>
      <w:r w:rsidR="00181422" w:rsidRPr="00B23DEB">
        <w:t>(case no. VIII Kp </w:t>
      </w:r>
      <w:r w:rsidR="00482424" w:rsidRPr="00B23DEB">
        <w:t xml:space="preserve">17/17) </w:t>
      </w:r>
      <w:r w:rsidRPr="00B23DEB">
        <w:t xml:space="preserve">decided to </w:t>
      </w:r>
      <w:r w:rsidR="0061684B" w:rsidRPr="00B23DEB">
        <w:t xml:space="preserve">refer </w:t>
      </w:r>
      <w:r w:rsidRPr="00B23DEB">
        <w:t xml:space="preserve">a legal question to the Constitutional Court on the constitutionality of Article 210 of the CCP in so far as </w:t>
      </w:r>
      <w:r w:rsidR="00A17837" w:rsidRPr="00B23DEB">
        <w:t xml:space="preserve">that </w:t>
      </w:r>
      <w:r w:rsidR="002916EE" w:rsidRPr="00B23DEB">
        <w:t xml:space="preserve">provision </w:t>
      </w:r>
      <w:r w:rsidRPr="00B23DEB">
        <w:t>did not provide for the opportunity to lodge an</w:t>
      </w:r>
      <w:r w:rsidR="00181422" w:rsidRPr="00B23DEB">
        <w:t xml:space="preserve"> interlocutory appeal against a </w:t>
      </w:r>
      <w:r w:rsidRPr="00B23DEB">
        <w:t>prosecutor</w:t>
      </w:r>
      <w:r w:rsidR="00B23DEB" w:rsidRPr="00B23DEB">
        <w:t>’</w:t>
      </w:r>
      <w:r w:rsidRPr="00B23DEB">
        <w:t xml:space="preserve">s decision to exhume a body. The court alleged that the impugned provision was incompatible with Article 45 (the right to a court), Article 47 (the right to private and family life) and Article 78 (the right to appeal) of the Constitution and Articles </w:t>
      </w:r>
      <w:r w:rsidR="00181422" w:rsidRPr="00B23DEB">
        <w:t>8 and 13 of the Convention. The </w:t>
      </w:r>
      <w:r w:rsidRPr="00B23DEB">
        <w:t>court considered that the prosecutor</w:t>
      </w:r>
      <w:r w:rsidR="00B23DEB" w:rsidRPr="00B23DEB">
        <w:t>’</w:t>
      </w:r>
      <w:r w:rsidRPr="00B23DEB">
        <w:t>s decision of 7 October 2016 had predetermined the issue of exhumation.</w:t>
      </w:r>
    </w:p>
    <w:p w:rsidR="004D3D17" w:rsidRPr="00B23DEB" w:rsidRDefault="004D3D17" w:rsidP="00B23DEB">
      <w:pPr>
        <w:pStyle w:val="ECHRPara"/>
      </w:pPr>
      <w:r w:rsidRPr="00B23DEB">
        <w:rPr>
          <w:lang w:val="en-US"/>
        </w:rPr>
        <w:t>Having analysed the provisions of the CCP, the Regional Court found that prosecutors</w:t>
      </w:r>
      <w:r w:rsidR="00B23DEB" w:rsidRPr="00B23DEB">
        <w:rPr>
          <w:lang w:val="en-US"/>
        </w:rPr>
        <w:t>’</w:t>
      </w:r>
      <w:r w:rsidRPr="00B23DEB">
        <w:rPr>
          <w:lang w:val="en-US"/>
        </w:rPr>
        <w:t xml:space="preserve"> decisions ordering autopsy (Article 209 of the CCP) or exhumation (Article 210 of the CCP) were not susceptible to judicial review. It noted, </w:t>
      </w:r>
      <w:r w:rsidRPr="00B23DEB">
        <w:rPr>
          <w:i/>
          <w:iCs/>
          <w:lang w:val="en-US"/>
        </w:rPr>
        <w:t>inter alia</w:t>
      </w:r>
      <w:r w:rsidRPr="00B23DEB">
        <w:rPr>
          <w:lang w:val="en-US"/>
        </w:rPr>
        <w:t>, that the right to grieve and the respect for that right owed to close relatives of a deceased person fell within the constitutional notion of “</w:t>
      </w:r>
      <w:r w:rsidR="0079621C" w:rsidRPr="00B23DEB">
        <w:rPr>
          <w:lang w:val="en-US"/>
        </w:rPr>
        <w:t>private and</w:t>
      </w:r>
      <w:r w:rsidR="0079621C" w:rsidRPr="00B23DEB">
        <w:rPr>
          <w:b/>
          <w:lang w:val="en-US"/>
        </w:rPr>
        <w:t xml:space="preserve"> </w:t>
      </w:r>
      <w:r w:rsidRPr="00B23DEB">
        <w:rPr>
          <w:lang w:val="en-US"/>
        </w:rPr>
        <w:t>family life”. In the event of the authorities interfering with that right, the individual concerned should be provided with a remedy. Article 210 of the CCP was constitutionally and conventionally deficient in that respect, since it did not provide for judicial review of a prosecutor</w:t>
      </w:r>
      <w:r w:rsidR="00B23DEB" w:rsidRPr="00B23DEB">
        <w:rPr>
          <w:lang w:val="en-US"/>
        </w:rPr>
        <w:t>’</w:t>
      </w:r>
      <w:r w:rsidRPr="00B23DEB">
        <w:rPr>
          <w:lang w:val="en-US"/>
        </w:rPr>
        <w:t>s decision ordering exhumation.</w:t>
      </w:r>
    </w:p>
    <w:p w:rsidR="00181422" w:rsidRPr="00B23DEB" w:rsidRDefault="00D56C6F" w:rsidP="00B23DEB">
      <w:pPr>
        <w:pStyle w:val="ECHRPara"/>
      </w:pPr>
      <w:r w:rsidRPr="00B23DEB">
        <w:fldChar w:fldCharType="begin"/>
      </w:r>
      <w:r w:rsidRPr="00B23DEB">
        <w:instrText xml:space="preserve"> SEQ level0 \*arabic </w:instrText>
      </w:r>
      <w:r w:rsidRPr="00B23DEB">
        <w:fldChar w:fldCharType="separate"/>
      </w:r>
      <w:r w:rsidR="006549E3">
        <w:rPr>
          <w:noProof/>
        </w:rPr>
        <w:t>28</w:t>
      </w:r>
      <w:r w:rsidRPr="00B23DEB">
        <w:fldChar w:fldCharType="end"/>
      </w:r>
      <w:r w:rsidRPr="00B23DEB">
        <w:t>.  </w:t>
      </w:r>
      <w:r w:rsidR="004D3D17" w:rsidRPr="00B23DEB">
        <w:t xml:space="preserve">As a result of the decision to refer a legal question, the proceedings before the Warsaw Regional Court have been suspended until the Constitutional Court issues a decision on the matter. </w:t>
      </w:r>
      <w:r w:rsidR="0070711B" w:rsidRPr="00B23DEB">
        <w:t xml:space="preserve">The </w:t>
      </w:r>
      <w:r w:rsidR="00C25C70" w:rsidRPr="00B23DEB">
        <w:t>proceedings before the Co</w:t>
      </w:r>
      <w:r w:rsidR="0070711B" w:rsidRPr="00B23DEB">
        <w:t xml:space="preserve">nstitutional Court are </w:t>
      </w:r>
      <w:r w:rsidR="00727222" w:rsidRPr="00B23DEB">
        <w:t xml:space="preserve">currently </w:t>
      </w:r>
      <w:r w:rsidR="0070711B" w:rsidRPr="00B23DEB">
        <w:t>pending (case no. P 18/17).</w:t>
      </w:r>
    </w:p>
    <w:p w:rsidR="00C25C70" w:rsidRPr="00B23DEB" w:rsidRDefault="00C25C70" w:rsidP="00B23DEB">
      <w:pPr>
        <w:pStyle w:val="ECHRPara"/>
      </w:pPr>
      <w:r w:rsidRPr="00B23DEB">
        <w:fldChar w:fldCharType="begin"/>
      </w:r>
      <w:r w:rsidRPr="00B23DEB">
        <w:instrText xml:space="preserve"> SEQ level0 \*arabic </w:instrText>
      </w:r>
      <w:r w:rsidRPr="00B23DEB">
        <w:fldChar w:fldCharType="separate"/>
      </w:r>
      <w:r w:rsidR="006549E3">
        <w:rPr>
          <w:noProof/>
        </w:rPr>
        <w:t>29</w:t>
      </w:r>
      <w:r w:rsidRPr="00B23DEB">
        <w:fldChar w:fldCharType="end"/>
      </w:r>
      <w:r w:rsidRPr="00B23DEB">
        <w:t xml:space="preserve">.  On 24 May 2017 the applicants again </w:t>
      </w:r>
      <w:r w:rsidR="00727222" w:rsidRPr="00B23DEB">
        <w:t xml:space="preserve">urged </w:t>
      </w:r>
      <w:r w:rsidRPr="00B23DEB">
        <w:t>the State Prosecutor</w:t>
      </w:r>
      <w:r w:rsidR="00B23DEB" w:rsidRPr="00B23DEB">
        <w:t>’</w:t>
      </w:r>
      <w:r w:rsidRPr="00B23DEB">
        <w:t>s Office to revoke its decision on exhumation. The prosecutor replied in the negative on 7 June 2017.</w:t>
      </w:r>
    </w:p>
    <w:p w:rsidR="00181422" w:rsidRPr="00B23DEB" w:rsidRDefault="00BC482F" w:rsidP="00B23DEB">
      <w:pPr>
        <w:pStyle w:val="ECHRPara"/>
      </w:pPr>
      <w:r w:rsidRPr="00B23DEB">
        <w:fldChar w:fldCharType="begin"/>
      </w:r>
      <w:r w:rsidRPr="00B23DEB">
        <w:instrText xml:space="preserve"> SEQ level0 \*arabic </w:instrText>
      </w:r>
      <w:r w:rsidRPr="00B23DEB">
        <w:fldChar w:fldCharType="separate"/>
      </w:r>
      <w:r w:rsidR="006549E3">
        <w:rPr>
          <w:noProof/>
        </w:rPr>
        <w:t>30</w:t>
      </w:r>
      <w:r w:rsidRPr="00B23DEB">
        <w:fldChar w:fldCharType="end"/>
      </w:r>
      <w:r w:rsidRPr="00B23DEB">
        <w:t>.  The Government informed the Court that the exhumation of the applicants</w:t>
      </w:r>
      <w:r w:rsidR="00B23DEB" w:rsidRPr="00B23DEB">
        <w:t>’</w:t>
      </w:r>
      <w:r w:rsidRPr="00B23DEB">
        <w:t xml:space="preserve"> husbands </w:t>
      </w:r>
      <w:r w:rsidR="00A17837" w:rsidRPr="00B23DEB">
        <w:t xml:space="preserve">had </w:t>
      </w:r>
      <w:r w:rsidR="00D56C6F" w:rsidRPr="00B23DEB">
        <w:t xml:space="preserve">initially </w:t>
      </w:r>
      <w:r w:rsidR="00A17837" w:rsidRPr="00B23DEB">
        <w:t xml:space="preserve">been </w:t>
      </w:r>
      <w:r w:rsidRPr="00B23DEB">
        <w:t xml:space="preserve">planned for 24 and 26 April 2018. </w:t>
      </w:r>
      <w:r w:rsidR="00D01286" w:rsidRPr="00B23DEB">
        <w:t xml:space="preserve">The exhumations </w:t>
      </w:r>
      <w:r w:rsidR="00727222" w:rsidRPr="00B23DEB">
        <w:t xml:space="preserve">had been </w:t>
      </w:r>
      <w:r w:rsidR="00D01286" w:rsidRPr="00B23DEB">
        <w:t xml:space="preserve">planned in line with the wishes of the families and the bodies of those victims whose families had not </w:t>
      </w:r>
      <w:r w:rsidR="00727222" w:rsidRPr="00B23DEB">
        <w:t xml:space="preserve">complained had been </w:t>
      </w:r>
      <w:r w:rsidR="00D01286" w:rsidRPr="00B23DEB">
        <w:t>exhumed</w:t>
      </w:r>
      <w:r w:rsidR="00727222" w:rsidRPr="00B23DEB">
        <w:t xml:space="preserve"> first</w:t>
      </w:r>
      <w:r w:rsidR="00D01286" w:rsidRPr="00B23DEB">
        <w:t xml:space="preserve">. </w:t>
      </w:r>
      <w:r w:rsidR="00727222" w:rsidRPr="00B23DEB">
        <w:t>The b</w:t>
      </w:r>
      <w:r w:rsidR="00D01286" w:rsidRPr="00B23DEB">
        <w:t xml:space="preserve">odies of those victims whose families </w:t>
      </w:r>
      <w:r w:rsidR="00727222" w:rsidRPr="00B23DEB">
        <w:t xml:space="preserve">had </w:t>
      </w:r>
      <w:r w:rsidR="00D01286" w:rsidRPr="00B23DEB">
        <w:t>complained against the prosecutor</w:t>
      </w:r>
      <w:r w:rsidR="00B23DEB" w:rsidRPr="00B23DEB">
        <w:t>’</w:t>
      </w:r>
      <w:r w:rsidR="00D01286" w:rsidRPr="00B23DEB">
        <w:t xml:space="preserve">s decision </w:t>
      </w:r>
      <w:r w:rsidR="00727222" w:rsidRPr="00B23DEB">
        <w:t xml:space="preserve">would </w:t>
      </w:r>
      <w:r w:rsidR="00D01286" w:rsidRPr="00B23DEB">
        <w:t xml:space="preserve">be exhumed at </w:t>
      </w:r>
      <w:r w:rsidR="00727222" w:rsidRPr="00B23DEB">
        <w:t xml:space="preserve">a </w:t>
      </w:r>
      <w:r w:rsidR="00D01286" w:rsidRPr="00B23DEB">
        <w:t>late</w:t>
      </w:r>
      <w:r w:rsidR="00727222" w:rsidRPr="00B23DEB">
        <w:t>r</w:t>
      </w:r>
      <w:r w:rsidR="00D01286" w:rsidRPr="00B23DEB">
        <w:t xml:space="preserve"> stage.</w:t>
      </w:r>
    </w:p>
    <w:p w:rsidR="00181422" w:rsidRPr="00B23DEB" w:rsidRDefault="005D213F" w:rsidP="00B23DEB">
      <w:pPr>
        <w:pStyle w:val="ECHRPara"/>
      </w:pPr>
      <w:r w:rsidRPr="00B23DEB">
        <w:fldChar w:fldCharType="begin"/>
      </w:r>
      <w:r w:rsidRPr="00B23DEB">
        <w:instrText xml:space="preserve"> SEQ level0 \*arabic </w:instrText>
      </w:r>
      <w:r w:rsidRPr="00B23DEB">
        <w:fldChar w:fldCharType="separate"/>
      </w:r>
      <w:r w:rsidR="006549E3">
        <w:rPr>
          <w:noProof/>
        </w:rPr>
        <w:t>31</w:t>
      </w:r>
      <w:r w:rsidRPr="00B23DEB">
        <w:fldChar w:fldCharType="end"/>
      </w:r>
      <w:r w:rsidRPr="00B23DEB">
        <w:t xml:space="preserve">.  On 13 April 2018 the prosecutor issued two </w:t>
      </w:r>
      <w:r w:rsidR="00D516E0" w:rsidRPr="00B23DEB">
        <w:t xml:space="preserve">orders setting the dates of </w:t>
      </w:r>
      <w:r w:rsidRPr="00B23DEB">
        <w:t>the exhumation of the bodies of the applicants</w:t>
      </w:r>
      <w:r w:rsidR="00B23DEB" w:rsidRPr="00B23DEB">
        <w:t>’</w:t>
      </w:r>
      <w:r w:rsidRPr="00B23DEB">
        <w:t xml:space="preserve"> husbands </w:t>
      </w:r>
      <w:r w:rsidR="00D516E0" w:rsidRPr="00B23DEB">
        <w:t>for</w:t>
      </w:r>
      <w:r w:rsidR="00652D1A" w:rsidRPr="00B23DEB">
        <w:t xml:space="preserve"> </w:t>
      </w:r>
      <w:r w:rsidR="00C7382B" w:rsidRPr="00B23DEB">
        <w:t>14 and 16 </w:t>
      </w:r>
      <w:r w:rsidRPr="00B23DEB">
        <w:t xml:space="preserve">May 2018 respectively. </w:t>
      </w:r>
      <w:r w:rsidR="00652D1A" w:rsidRPr="00B23DEB">
        <w:t>The prosecutor stated that th</w:t>
      </w:r>
      <w:r w:rsidR="00727222" w:rsidRPr="00B23DEB">
        <w:t>o</w:t>
      </w:r>
      <w:r w:rsidR="00652D1A" w:rsidRPr="00B23DEB">
        <w:t xml:space="preserve">se </w:t>
      </w:r>
      <w:r w:rsidR="00D516E0" w:rsidRPr="00B23DEB">
        <w:t xml:space="preserve">orders </w:t>
      </w:r>
      <w:r w:rsidR="00652D1A" w:rsidRPr="00B23DEB">
        <w:t>were</w:t>
      </w:r>
      <w:r w:rsidR="00D516E0" w:rsidRPr="00B23DEB">
        <w:t xml:space="preserve"> being issued</w:t>
      </w:r>
      <w:r w:rsidR="00652D1A" w:rsidRPr="00B23DEB">
        <w:t xml:space="preserve"> in execution of the deci</w:t>
      </w:r>
      <w:r w:rsidR="00117469" w:rsidRPr="00B23DEB">
        <w:t xml:space="preserve">sion </w:t>
      </w:r>
      <w:r w:rsidR="00652D1A" w:rsidRPr="00B23DEB">
        <w:t>of 7 October 2016</w:t>
      </w:r>
      <w:r w:rsidR="00C40061" w:rsidRPr="00B23DEB">
        <w:t>.</w:t>
      </w:r>
      <w:r w:rsidR="00181422" w:rsidRPr="00B23DEB">
        <w:t xml:space="preserve"> </w:t>
      </w:r>
      <w:r w:rsidR="00C40061" w:rsidRPr="00B23DEB">
        <w:t xml:space="preserve">The reasoning </w:t>
      </w:r>
      <w:r w:rsidR="00117469" w:rsidRPr="00B23DEB">
        <w:t xml:space="preserve">was limited to a brief reference to </w:t>
      </w:r>
      <w:r w:rsidR="00C40061" w:rsidRPr="00B23DEB">
        <w:t>the ongoing investigation and the decision of 7 October 2016.</w:t>
      </w:r>
    </w:p>
    <w:p w:rsidR="00181422" w:rsidRPr="00B23DEB" w:rsidRDefault="000F65AA" w:rsidP="00B23DEB">
      <w:pPr>
        <w:pStyle w:val="ECHRPara"/>
      </w:pPr>
      <w:r w:rsidRPr="00B23DEB">
        <w:fldChar w:fldCharType="begin"/>
      </w:r>
      <w:r w:rsidRPr="00B23DEB">
        <w:instrText xml:space="preserve"> SEQ level0 \*arabic </w:instrText>
      </w:r>
      <w:r w:rsidRPr="00B23DEB">
        <w:fldChar w:fldCharType="separate"/>
      </w:r>
      <w:r w:rsidR="006549E3">
        <w:rPr>
          <w:noProof/>
        </w:rPr>
        <w:t>32</w:t>
      </w:r>
      <w:r w:rsidRPr="00B23DEB">
        <w:fldChar w:fldCharType="end"/>
      </w:r>
      <w:r w:rsidRPr="00B23DEB">
        <w:t xml:space="preserve">.  The applicants lodged interlocutory appeals against the </w:t>
      </w:r>
      <w:r w:rsidR="00D516E0" w:rsidRPr="00B23DEB">
        <w:t xml:space="preserve">orders </w:t>
      </w:r>
      <w:r w:rsidR="00C7382B" w:rsidRPr="00B23DEB">
        <w:t>of 13 </w:t>
      </w:r>
      <w:r w:rsidRPr="00B23DEB">
        <w:t xml:space="preserve">April 2018. On 27 April and 7 May 2018 the prosecutor </w:t>
      </w:r>
      <w:r w:rsidR="00CB399A" w:rsidRPr="00B23DEB">
        <w:t xml:space="preserve">refused to </w:t>
      </w:r>
      <w:r w:rsidR="00BF29BD" w:rsidRPr="00B23DEB">
        <w:t xml:space="preserve">examine </w:t>
      </w:r>
      <w:r w:rsidR="00CB399A" w:rsidRPr="00B23DEB">
        <w:t>the applicants</w:t>
      </w:r>
      <w:r w:rsidR="00B23DEB" w:rsidRPr="00B23DEB">
        <w:t>’</w:t>
      </w:r>
      <w:r w:rsidR="00CB399A" w:rsidRPr="00B23DEB">
        <w:t xml:space="preserve"> interlocutory appeals </w:t>
      </w:r>
      <w:r w:rsidR="00727222" w:rsidRPr="00B23DEB">
        <w:t xml:space="preserve">on the grounds that </w:t>
      </w:r>
      <w:r w:rsidR="00CB399A" w:rsidRPr="00B23DEB">
        <w:t>they were inadmissible in law.</w:t>
      </w:r>
    </w:p>
    <w:p w:rsidR="00181422" w:rsidRPr="00B23DEB" w:rsidRDefault="003858DF" w:rsidP="00B23DEB">
      <w:pPr>
        <w:pStyle w:val="ECHRPara"/>
      </w:pPr>
      <w:r w:rsidRPr="00B23DEB">
        <w:fldChar w:fldCharType="begin"/>
      </w:r>
      <w:r w:rsidRPr="00B23DEB">
        <w:instrText xml:space="preserve"> SEQ level0 \*arabic </w:instrText>
      </w:r>
      <w:r w:rsidRPr="00B23DEB">
        <w:fldChar w:fldCharType="separate"/>
      </w:r>
      <w:r w:rsidR="006549E3">
        <w:rPr>
          <w:noProof/>
        </w:rPr>
        <w:t>33</w:t>
      </w:r>
      <w:r w:rsidRPr="00B23DEB">
        <w:fldChar w:fldCharType="end"/>
      </w:r>
      <w:r w:rsidRPr="00B23DEB">
        <w:t>.  </w:t>
      </w:r>
      <w:r w:rsidR="00C22503" w:rsidRPr="00B23DEB">
        <w:t xml:space="preserve">On </w:t>
      </w:r>
      <w:r w:rsidR="00A50760" w:rsidRPr="00B23DEB">
        <w:t xml:space="preserve">7, 8 and 9 May </w:t>
      </w:r>
      <w:r w:rsidR="00C22503" w:rsidRPr="00B23DEB">
        <w:t xml:space="preserve">2018 the applicants </w:t>
      </w:r>
      <w:r w:rsidR="00727222" w:rsidRPr="00B23DEB">
        <w:t xml:space="preserve">lodged </w:t>
      </w:r>
      <w:r w:rsidR="00A2341D" w:rsidRPr="00B23DEB">
        <w:t xml:space="preserve">interlocutory appeals </w:t>
      </w:r>
      <w:r w:rsidR="00A17837" w:rsidRPr="00B23DEB">
        <w:t xml:space="preserve">with the Warsaw Regional Court </w:t>
      </w:r>
      <w:r w:rsidR="00A2341D" w:rsidRPr="00B23DEB">
        <w:t>against the prosecutor</w:t>
      </w:r>
      <w:r w:rsidR="00B23DEB" w:rsidRPr="00B23DEB">
        <w:t>’</w:t>
      </w:r>
      <w:r w:rsidR="00A2341D" w:rsidRPr="00B23DEB">
        <w:t xml:space="preserve">s decision refusing to </w:t>
      </w:r>
      <w:r w:rsidR="00BF29BD" w:rsidRPr="00B23DEB">
        <w:t xml:space="preserve">examine </w:t>
      </w:r>
      <w:r w:rsidR="00A2341D" w:rsidRPr="00B23DEB">
        <w:t xml:space="preserve">their appeals. </w:t>
      </w:r>
      <w:r w:rsidR="00C22503" w:rsidRPr="00B23DEB">
        <w:t xml:space="preserve">They argued that the </w:t>
      </w:r>
      <w:r w:rsidR="00A2341D" w:rsidRPr="00B23DEB">
        <w:t>prosecutor</w:t>
      </w:r>
      <w:r w:rsidR="00B23DEB" w:rsidRPr="00B23DEB">
        <w:t>’</w:t>
      </w:r>
      <w:r w:rsidR="00A2341D" w:rsidRPr="00B23DEB">
        <w:t xml:space="preserve">s </w:t>
      </w:r>
      <w:r w:rsidR="00C22503" w:rsidRPr="00B23DEB">
        <w:t>decision violated various provisions of the CCP and the Constitution</w:t>
      </w:r>
      <w:r w:rsidR="00727222" w:rsidRPr="00B23DEB">
        <w:t>,</w:t>
      </w:r>
      <w:r w:rsidR="009C5CE2" w:rsidRPr="00B23DEB">
        <w:t xml:space="preserve"> as well as Articles 3, </w:t>
      </w:r>
      <w:r w:rsidR="00C22503" w:rsidRPr="00B23DEB">
        <w:t>8 and 13 of the Convention.</w:t>
      </w:r>
    </w:p>
    <w:p w:rsidR="00181422" w:rsidRPr="00B23DEB" w:rsidRDefault="003858DF" w:rsidP="00B23DEB">
      <w:pPr>
        <w:pStyle w:val="ECHRPara"/>
      </w:pPr>
      <w:r w:rsidRPr="00B23DEB">
        <w:fldChar w:fldCharType="begin"/>
      </w:r>
      <w:r w:rsidRPr="00B23DEB">
        <w:instrText xml:space="preserve"> SEQ level0 \*arabic </w:instrText>
      </w:r>
      <w:r w:rsidRPr="00B23DEB">
        <w:fldChar w:fldCharType="separate"/>
      </w:r>
      <w:r w:rsidR="006549E3">
        <w:rPr>
          <w:noProof/>
        </w:rPr>
        <w:t>34</w:t>
      </w:r>
      <w:r w:rsidRPr="00B23DEB">
        <w:fldChar w:fldCharType="end"/>
      </w:r>
      <w:r w:rsidRPr="00B23DEB">
        <w:t>.  </w:t>
      </w:r>
      <w:r w:rsidR="005D213F" w:rsidRPr="00B23DEB">
        <w:t xml:space="preserve">The Government submitted that </w:t>
      </w:r>
      <w:r w:rsidR="00A17837" w:rsidRPr="00B23DEB">
        <w:t xml:space="preserve">in accordance with </w:t>
      </w:r>
      <w:r w:rsidR="005D213F" w:rsidRPr="00B23DEB">
        <w:t xml:space="preserve">the code of conduct adopted by </w:t>
      </w:r>
      <w:r w:rsidR="001C6C58" w:rsidRPr="00B23DEB">
        <w:t>the i</w:t>
      </w:r>
      <w:r w:rsidR="005D213F" w:rsidRPr="00B23DEB">
        <w:t xml:space="preserve">nvestigative </w:t>
      </w:r>
      <w:r w:rsidR="001C6C58" w:rsidRPr="00B23DEB">
        <w:t>t</w:t>
      </w:r>
      <w:r w:rsidR="005D213F" w:rsidRPr="00B23DEB">
        <w:t>eam of the State Prosecutor</w:t>
      </w:r>
      <w:r w:rsidR="00B23DEB" w:rsidRPr="00B23DEB">
        <w:t>’</w:t>
      </w:r>
      <w:r w:rsidR="005D213F" w:rsidRPr="00B23DEB">
        <w:t xml:space="preserve">s Office, the prosecutors in charge of the investigation </w:t>
      </w:r>
      <w:r w:rsidR="00727222" w:rsidRPr="00B23DEB">
        <w:t xml:space="preserve">had taken </w:t>
      </w:r>
      <w:r w:rsidR="003E4A4F" w:rsidRPr="00B23DEB">
        <w:t>steps to arrange a </w:t>
      </w:r>
      <w:r w:rsidR="005D213F" w:rsidRPr="00B23DEB">
        <w:t xml:space="preserve">meeting with the applicants and their lawyers in order to explain the reasons for </w:t>
      </w:r>
      <w:r w:rsidR="00727222" w:rsidRPr="00B23DEB">
        <w:t xml:space="preserve">the </w:t>
      </w:r>
      <w:r w:rsidR="005D213F" w:rsidRPr="00B23DEB">
        <w:t xml:space="preserve">intended investigative actions, to clarify the aim of the autopsies and </w:t>
      </w:r>
      <w:r w:rsidR="00727222" w:rsidRPr="00B23DEB">
        <w:t xml:space="preserve">to </w:t>
      </w:r>
      <w:r w:rsidR="005D213F" w:rsidRPr="00B23DEB">
        <w:t>elucidate other important issues, such as the families</w:t>
      </w:r>
      <w:r w:rsidR="00B23DEB" w:rsidRPr="00B23DEB">
        <w:t>’</w:t>
      </w:r>
      <w:r w:rsidR="005D213F" w:rsidRPr="00B23DEB">
        <w:t xml:space="preserve"> participation in the investigative actions and the issue of re-burial.</w:t>
      </w:r>
    </w:p>
    <w:p w:rsidR="00181422" w:rsidRPr="00B23DEB" w:rsidRDefault="00D42436" w:rsidP="00B23DEB">
      <w:pPr>
        <w:pStyle w:val="ECHRPara"/>
      </w:pPr>
      <w:r w:rsidRPr="00B23DEB">
        <w:fldChar w:fldCharType="begin"/>
      </w:r>
      <w:r w:rsidRPr="00B23DEB">
        <w:instrText xml:space="preserve"> SEQ level0 \*arabic </w:instrText>
      </w:r>
      <w:r w:rsidRPr="00B23DEB">
        <w:fldChar w:fldCharType="separate"/>
      </w:r>
      <w:r w:rsidR="006549E3">
        <w:rPr>
          <w:noProof/>
        </w:rPr>
        <w:t>35</w:t>
      </w:r>
      <w:r w:rsidRPr="00B23DEB">
        <w:fldChar w:fldCharType="end"/>
      </w:r>
      <w:r w:rsidRPr="00B23DEB">
        <w:t xml:space="preserve">.  On 19 April 2018 </w:t>
      </w:r>
      <w:r w:rsidR="00AC66E3" w:rsidRPr="00B23DEB">
        <w:t>the second applicant</w:t>
      </w:r>
      <w:r w:rsidR="00B23DEB" w:rsidRPr="00B23DEB">
        <w:t>’</w:t>
      </w:r>
      <w:r w:rsidR="00AC66E3" w:rsidRPr="00B23DEB">
        <w:t>s lawyer informed the State Prosecutor</w:t>
      </w:r>
      <w:r w:rsidR="00B23DEB" w:rsidRPr="00B23DEB">
        <w:t>’</w:t>
      </w:r>
      <w:r w:rsidR="00AC66E3" w:rsidRPr="00B23DEB">
        <w:t xml:space="preserve">s Office </w:t>
      </w:r>
      <w:r w:rsidR="00395130" w:rsidRPr="00B23DEB">
        <w:t>that his client would not take part in the proposed meeting with the prosecutors</w:t>
      </w:r>
      <w:r w:rsidR="00764B16" w:rsidRPr="00B23DEB">
        <w:t xml:space="preserve"> because</w:t>
      </w:r>
      <w:r w:rsidR="00395130" w:rsidRPr="00B23DEB">
        <w:t xml:space="preserve"> she opposed the exhumation. </w:t>
      </w:r>
      <w:r w:rsidR="00181422" w:rsidRPr="00B23DEB">
        <w:t>The </w:t>
      </w:r>
      <w:r w:rsidR="003D4DAB" w:rsidRPr="00B23DEB">
        <w:t xml:space="preserve">lawyer </w:t>
      </w:r>
      <w:r w:rsidR="00E312E6" w:rsidRPr="00B23DEB">
        <w:t xml:space="preserve">communicated </w:t>
      </w:r>
      <w:r w:rsidR="003D4DAB" w:rsidRPr="00B23DEB">
        <w:t xml:space="preserve">with the prosecutors </w:t>
      </w:r>
      <w:r w:rsidR="00E312E6" w:rsidRPr="00B23DEB">
        <w:t>on all aspects of the planned exhumation.</w:t>
      </w:r>
    </w:p>
    <w:p w:rsidR="00181422" w:rsidRPr="00B23DEB" w:rsidRDefault="00EB5051" w:rsidP="00B23DEB">
      <w:pPr>
        <w:pStyle w:val="ECHRPara"/>
      </w:pPr>
      <w:r w:rsidRPr="00B23DEB">
        <w:fldChar w:fldCharType="begin"/>
      </w:r>
      <w:r w:rsidRPr="00B23DEB">
        <w:instrText xml:space="preserve"> SEQ level0 \*arabic </w:instrText>
      </w:r>
      <w:r w:rsidRPr="00B23DEB">
        <w:fldChar w:fldCharType="separate"/>
      </w:r>
      <w:r w:rsidR="006549E3">
        <w:rPr>
          <w:noProof/>
        </w:rPr>
        <w:t>36</w:t>
      </w:r>
      <w:r w:rsidRPr="00B23DEB">
        <w:fldChar w:fldCharType="end"/>
      </w:r>
      <w:r w:rsidRPr="00B23DEB">
        <w:t>.  </w:t>
      </w:r>
      <w:r w:rsidR="00395130" w:rsidRPr="00B23DEB">
        <w:t>On 24 April 2018 the first applicant and her law</w:t>
      </w:r>
      <w:r w:rsidR="00181422" w:rsidRPr="00B23DEB">
        <w:t>yer participated in a </w:t>
      </w:r>
      <w:r w:rsidR="00395130" w:rsidRPr="00B23DEB">
        <w:t>meeting with the prosecutors respons</w:t>
      </w:r>
      <w:r w:rsidR="00181422" w:rsidRPr="00B23DEB">
        <w:t>ible for the investigation. The </w:t>
      </w:r>
      <w:r w:rsidR="00395130" w:rsidRPr="00B23DEB">
        <w:t>participants discussed the organisational aspects of th</w:t>
      </w:r>
      <w:r w:rsidR="003858DF" w:rsidRPr="00B23DEB">
        <w:t>e exhumation</w:t>
      </w:r>
      <w:r w:rsidR="00395130" w:rsidRPr="00B23DEB">
        <w:t>.</w:t>
      </w:r>
    </w:p>
    <w:p w:rsidR="00181422" w:rsidRPr="00B23DEB" w:rsidRDefault="00AE461F" w:rsidP="00B23DEB">
      <w:pPr>
        <w:pStyle w:val="ECHRPara"/>
      </w:pPr>
      <w:r w:rsidRPr="00B23DEB">
        <w:fldChar w:fldCharType="begin"/>
      </w:r>
      <w:r w:rsidRPr="00B23DEB">
        <w:instrText xml:space="preserve"> SEQ level0 \*arabic </w:instrText>
      </w:r>
      <w:r w:rsidRPr="00B23DEB">
        <w:fldChar w:fldCharType="separate"/>
      </w:r>
      <w:r w:rsidR="006549E3">
        <w:rPr>
          <w:noProof/>
        </w:rPr>
        <w:t>37</w:t>
      </w:r>
      <w:r w:rsidRPr="00B23DEB">
        <w:fldChar w:fldCharType="end"/>
      </w:r>
      <w:r w:rsidRPr="00B23DEB">
        <w:t>.  </w:t>
      </w:r>
      <w:r w:rsidR="00764B16" w:rsidRPr="00B23DEB">
        <w:t>T</w:t>
      </w:r>
      <w:r w:rsidRPr="00B23DEB">
        <w:t xml:space="preserve">he exhumation of the remains of Mr Arkadiusz Rybicki, the husband of the second applicant, </w:t>
      </w:r>
      <w:r w:rsidR="00EB5051" w:rsidRPr="00B23DEB">
        <w:t>was carried out</w:t>
      </w:r>
      <w:r w:rsidR="00764B16" w:rsidRPr="00B23DEB">
        <w:t xml:space="preserve"> on 14 May 2018</w:t>
      </w:r>
      <w:r w:rsidRPr="00B23DEB">
        <w:t xml:space="preserve">. </w:t>
      </w:r>
      <w:r w:rsidR="006D0611" w:rsidRPr="00B23DEB">
        <w:t xml:space="preserve">According to </w:t>
      </w:r>
      <w:r w:rsidR="00764B16" w:rsidRPr="00B23DEB">
        <w:t xml:space="preserve">reports in </w:t>
      </w:r>
      <w:r w:rsidR="006D0611" w:rsidRPr="00B23DEB">
        <w:t xml:space="preserve">the media, </w:t>
      </w:r>
      <w:r w:rsidR="00764B16" w:rsidRPr="00B23DEB">
        <w:t xml:space="preserve">a </w:t>
      </w:r>
      <w:r w:rsidR="006D0611" w:rsidRPr="00B23DEB">
        <w:t>few hundred people protested peacefully against the exhumation</w:t>
      </w:r>
      <w:r w:rsidR="00EF0BE0" w:rsidRPr="00B23DEB">
        <w:t xml:space="preserve"> at the cemetery in Gda</w:t>
      </w:r>
      <w:r w:rsidR="00EF0BE0" w:rsidRPr="00B23DEB">
        <w:rPr>
          <w:rFonts w:cstheme="minorHAnsi"/>
        </w:rPr>
        <w:t>ń</w:t>
      </w:r>
      <w:r w:rsidR="00181422" w:rsidRPr="00B23DEB">
        <w:t>sk. The </w:t>
      </w:r>
      <w:r w:rsidR="006D0611" w:rsidRPr="00B23DEB">
        <w:t xml:space="preserve">exhumation </w:t>
      </w:r>
      <w:r w:rsidR="00C73A55" w:rsidRPr="00B23DEB">
        <w:t xml:space="preserve">exercise </w:t>
      </w:r>
      <w:r w:rsidR="006D0611" w:rsidRPr="00B23DEB">
        <w:t>was secured by a large group of police officers.</w:t>
      </w:r>
    </w:p>
    <w:p w:rsidR="00181422" w:rsidRPr="00B23DEB" w:rsidRDefault="00AE461F" w:rsidP="00B23DEB">
      <w:pPr>
        <w:pStyle w:val="ECHRPara"/>
      </w:pPr>
      <w:r w:rsidRPr="00B23DEB">
        <w:fldChar w:fldCharType="begin"/>
      </w:r>
      <w:r w:rsidRPr="00B23DEB">
        <w:instrText xml:space="preserve"> SEQ level0 \*arabic </w:instrText>
      </w:r>
      <w:r w:rsidRPr="00B23DEB">
        <w:fldChar w:fldCharType="separate"/>
      </w:r>
      <w:r w:rsidR="006549E3">
        <w:rPr>
          <w:noProof/>
        </w:rPr>
        <w:t>38</w:t>
      </w:r>
      <w:r w:rsidRPr="00B23DEB">
        <w:fldChar w:fldCharType="end"/>
      </w:r>
      <w:r w:rsidRPr="00B23DEB">
        <w:t>.  </w:t>
      </w:r>
      <w:r w:rsidR="00764B16" w:rsidRPr="00B23DEB">
        <w:t>T</w:t>
      </w:r>
      <w:r w:rsidRPr="00B23DEB">
        <w:t>he exhumation of the remains of Mr Leszek Solski, the husband of the first applicant, took place</w:t>
      </w:r>
      <w:r w:rsidR="00764B16" w:rsidRPr="00B23DEB">
        <w:t xml:space="preserve"> on 16 May 2018</w:t>
      </w:r>
      <w:r w:rsidRPr="00B23DEB">
        <w:t>.</w:t>
      </w:r>
    </w:p>
    <w:p w:rsidR="00181422" w:rsidRPr="00B23DEB" w:rsidRDefault="009A5BE6" w:rsidP="00B23DEB">
      <w:pPr>
        <w:pStyle w:val="ECHRPara"/>
      </w:pPr>
      <w:r w:rsidRPr="00B23DEB">
        <w:fldChar w:fldCharType="begin"/>
      </w:r>
      <w:r w:rsidRPr="00B23DEB">
        <w:instrText xml:space="preserve"> SEQ level0 \*arabic </w:instrText>
      </w:r>
      <w:r w:rsidRPr="00B23DEB">
        <w:fldChar w:fldCharType="separate"/>
      </w:r>
      <w:r w:rsidR="006549E3">
        <w:rPr>
          <w:noProof/>
        </w:rPr>
        <w:t>39</w:t>
      </w:r>
      <w:r w:rsidRPr="00B23DEB">
        <w:fldChar w:fldCharType="end"/>
      </w:r>
      <w:r w:rsidRPr="00B23DEB">
        <w:t>.  The investigation is pending.</w:t>
      </w:r>
    </w:p>
    <w:p w:rsidR="00C25C70" w:rsidRPr="00B23DEB" w:rsidRDefault="00EE0737" w:rsidP="00B23DEB">
      <w:pPr>
        <w:pStyle w:val="ECHRHeading2"/>
      </w:pPr>
      <w:r w:rsidRPr="00B23DEB">
        <w:t>C</w:t>
      </w:r>
      <w:r w:rsidR="00C25C70" w:rsidRPr="00B23DEB">
        <w:t>.  Civil proceedings</w:t>
      </w:r>
    </w:p>
    <w:p w:rsidR="00C25C70" w:rsidRPr="00B23DEB" w:rsidRDefault="00EE0737" w:rsidP="00B23DEB">
      <w:pPr>
        <w:pStyle w:val="ECHRPara"/>
      </w:pPr>
      <w:r w:rsidRPr="00B23DEB">
        <w:fldChar w:fldCharType="begin"/>
      </w:r>
      <w:r w:rsidRPr="00B23DEB">
        <w:instrText xml:space="preserve"> SEQ level0 \*arabic </w:instrText>
      </w:r>
      <w:r w:rsidRPr="00B23DEB">
        <w:fldChar w:fldCharType="separate"/>
      </w:r>
      <w:r w:rsidR="006549E3">
        <w:rPr>
          <w:noProof/>
        </w:rPr>
        <w:t>40</w:t>
      </w:r>
      <w:r w:rsidRPr="00B23DEB">
        <w:fldChar w:fldCharType="end"/>
      </w:r>
      <w:r w:rsidRPr="00B23DEB">
        <w:t>.  </w:t>
      </w:r>
      <w:r w:rsidR="00B87264" w:rsidRPr="00B23DEB">
        <w:t>On 3 November 2016 t</w:t>
      </w:r>
      <w:r w:rsidR="00C25C70" w:rsidRPr="00B23DEB">
        <w:t>he applicants sought an injunction in the civil courts to prevent the prosecutor from carrying out the exhumation of their husbands</w:t>
      </w:r>
      <w:r w:rsidR="00B23DEB" w:rsidRPr="00B23DEB">
        <w:t>’</w:t>
      </w:r>
      <w:r w:rsidR="00C25C70" w:rsidRPr="00B23DEB">
        <w:t xml:space="preserve"> remains. They argued that </w:t>
      </w:r>
      <w:r w:rsidR="00C73A55" w:rsidRPr="00B23DEB">
        <w:t xml:space="preserve">it </w:t>
      </w:r>
      <w:r w:rsidR="00C25C70" w:rsidRPr="00B23DEB">
        <w:t xml:space="preserve">would interfere with their personal right to respect for the memory of </w:t>
      </w:r>
      <w:r w:rsidR="00C73A55" w:rsidRPr="00B23DEB">
        <w:t xml:space="preserve">their </w:t>
      </w:r>
      <w:r w:rsidR="00C25C70" w:rsidRPr="00B23DEB">
        <w:t>late relative</w:t>
      </w:r>
      <w:r w:rsidR="000225E6" w:rsidRPr="00B23DEB">
        <w:t>s</w:t>
      </w:r>
      <w:r w:rsidR="00C25C70" w:rsidRPr="00B23DEB">
        <w:t>.</w:t>
      </w:r>
    </w:p>
    <w:p w:rsidR="00181422" w:rsidRPr="00B23DEB" w:rsidRDefault="00C25C70" w:rsidP="00B23DEB">
      <w:pPr>
        <w:pStyle w:val="ECHRPara"/>
      </w:pPr>
      <w:r w:rsidRPr="00B23DEB">
        <w:fldChar w:fldCharType="begin"/>
      </w:r>
      <w:r w:rsidRPr="00B23DEB">
        <w:instrText xml:space="preserve"> SEQ level0 \*arabic </w:instrText>
      </w:r>
      <w:r w:rsidRPr="00B23DEB">
        <w:fldChar w:fldCharType="separate"/>
      </w:r>
      <w:r w:rsidR="006549E3">
        <w:rPr>
          <w:noProof/>
        </w:rPr>
        <w:t>41</w:t>
      </w:r>
      <w:r w:rsidRPr="00B23DEB">
        <w:fldChar w:fldCharType="end"/>
      </w:r>
      <w:r w:rsidRPr="00B23DEB">
        <w:t xml:space="preserve">.  On 10 November 2016 the Warsaw Regional Court refused </w:t>
      </w:r>
      <w:r w:rsidR="00BF29BD" w:rsidRPr="00B23DEB">
        <w:t xml:space="preserve">to grant </w:t>
      </w:r>
      <w:r w:rsidRPr="00B23DEB">
        <w:t xml:space="preserve">an injunction. </w:t>
      </w:r>
      <w:r w:rsidR="00251748" w:rsidRPr="00B23DEB">
        <w:t xml:space="preserve">It held that the applicants had </w:t>
      </w:r>
      <w:r w:rsidR="009220E8" w:rsidRPr="00B23DEB">
        <w:t xml:space="preserve">demonstrated </w:t>
      </w:r>
      <w:r w:rsidR="00251748" w:rsidRPr="00B23DEB">
        <w:t xml:space="preserve">that the </w:t>
      </w:r>
      <w:r w:rsidR="00D56F48" w:rsidRPr="00B23DEB">
        <w:t>planned exhumation</w:t>
      </w:r>
      <w:r w:rsidR="009220E8" w:rsidRPr="00B23DEB">
        <w:t>s</w:t>
      </w:r>
      <w:r w:rsidR="00D56F48" w:rsidRPr="00B23DEB">
        <w:t xml:space="preserve"> would </w:t>
      </w:r>
      <w:r w:rsidR="00FD1969" w:rsidRPr="00B23DEB">
        <w:t xml:space="preserve">interfere with </w:t>
      </w:r>
      <w:r w:rsidR="00D56F48" w:rsidRPr="00B23DEB">
        <w:t xml:space="preserve">their personal rights, namely their right to respect for the memory of their </w:t>
      </w:r>
      <w:r w:rsidR="00911436" w:rsidRPr="00B23DEB">
        <w:t xml:space="preserve">deceased </w:t>
      </w:r>
      <w:r w:rsidR="00D56F48" w:rsidRPr="00B23DEB">
        <w:t xml:space="preserve">closed relatives. </w:t>
      </w:r>
      <w:r w:rsidR="009220E8" w:rsidRPr="00B23DEB">
        <w:t xml:space="preserve">The exhumation, </w:t>
      </w:r>
      <w:r w:rsidR="00C73A55" w:rsidRPr="00B23DEB">
        <w:t xml:space="preserve">the </w:t>
      </w:r>
      <w:r w:rsidR="009220E8" w:rsidRPr="00B23DEB">
        <w:t xml:space="preserve">examination of the corpses and a second burial would interfere with </w:t>
      </w:r>
      <w:r w:rsidR="006209AF" w:rsidRPr="00B23DEB">
        <w:t xml:space="preserve">that </w:t>
      </w:r>
      <w:r w:rsidR="009220E8" w:rsidRPr="00B23DEB">
        <w:t xml:space="preserve">right. However, the Regional Court found that the applicants had failed to demonstrate that the intended interference with their personal </w:t>
      </w:r>
      <w:r w:rsidR="002F09CC" w:rsidRPr="00B23DEB">
        <w:t>rights</w:t>
      </w:r>
      <w:r w:rsidR="00B02CD5" w:rsidRPr="00B23DEB">
        <w:t xml:space="preserve"> would be unlawful </w:t>
      </w:r>
      <w:r w:rsidR="009220E8" w:rsidRPr="00B23DEB">
        <w:t>and therefore dismissed their a</w:t>
      </w:r>
      <w:r w:rsidR="00C7382B" w:rsidRPr="00B23DEB">
        <w:t>pplication. Pursuant to Article </w:t>
      </w:r>
      <w:r w:rsidR="009220E8" w:rsidRPr="00B23DEB">
        <w:t xml:space="preserve">209 § 1 and </w:t>
      </w:r>
      <w:r w:rsidR="00BF29BD" w:rsidRPr="00B23DEB">
        <w:t xml:space="preserve">Article </w:t>
      </w:r>
      <w:r w:rsidR="009220E8" w:rsidRPr="00B23DEB">
        <w:t>210 of the CCP</w:t>
      </w:r>
      <w:r w:rsidR="006209AF" w:rsidRPr="00B23DEB">
        <w:t>,</w:t>
      </w:r>
      <w:r w:rsidR="009220E8" w:rsidRPr="00B23DEB">
        <w:t xml:space="preserve"> </w:t>
      </w:r>
      <w:r w:rsidR="00BF29BD" w:rsidRPr="00B23DEB">
        <w:t xml:space="preserve">a </w:t>
      </w:r>
      <w:r w:rsidR="009220E8" w:rsidRPr="00B23DEB">
        <w:t xml:space="preserve">prosecutor was competent to order exhumation of bodies in the context of </w:t>
      </w:r>
      <w:r w:rsidR="0088009C" w:rsidRPr="00B23DEB">
        <w:t xml:space="preserve">an </w:t>
      </w:r>
      <w:r w:rsidR="009220E8" w:rsidRPr="00B23DEB">
        <w:t>investigation in which the deaths were being treated as suspicious.</w:t>
      </w:r>
      <w:r w:rsidR="00057A78" w:rsidRPr="00B23DEB">
        <w:t xml:space="preserve"> The legislature </w:t>
      </w:r>
      <w:r w:rsidR="00A17837" w:rsidRPr="00B23DEB">
        <w:t xml:space="preserve">had </w:t>
      </w:r>
      <w:r w:rsidR="00057A78" w:rsidRPr="00B23DEB">
        <w:t>decided that irrespective of the will and consent of the family, the prosecutor had a dut</w:t>
      </w:r>
      <w:r w:rsidR="002F09CC" w:rsidRPr="00B23DEB">
        <w:t xml:space="preserve">y to order </w:t>
      </w:r>
      <w:r w:rsidR="006209AF" w:rsidRPr="00B23DEB">
        <w:t xml:space="preserve">that an </w:t>
      </w:r>
      <w:r w:rsidR="002F09CC" w:rsidRPr="00B23DEB">
        <w:t xml:space="preserve">autopsy </w:t>
      </w:r>
      <w:r w:rsidR="006209AF" w:rsidRPr="00B23DEB">
        <w:t xml:space="preserve">be carried out </w:t>
      </w:r>
      <w:r w:rsidR="002F09CC" w:rsidRPr="00B23DEB">
        <w:t>in every case</w:t>
      </w:r>
      <w:r w:rsidR="00057A78" w:rsidRPr="00B23DEB">
        <w:t xml:space="preserve"> of suspicious death and</w:t>
      </w:r>
      <w:r w:rsidR="006209AF" w:rsidRPr="00B23DEB">
        <w:t>,</w:t>
      </w:r>
      <w:r w:rsidR="00057A78" w:rsidRPr="00B23DEB">
        <w:t xml:space="preserve"> if the corpse had been buried, also to order its exhumation. The legislature </w:t>
      </w:r>
      <w:r w:rsidR="00A17837" w:rsidRPr="00B23DEB">
        <w:t xml:space="preserve">had given </w:t>
      </w:r>
      <w:r w:rsidR="00057A78" w:rsidRPr="00B23DEB">
        <w:t xml:space="preserve">priority in this </w:t>
      </w:r>
      <w:r w:rsidR="002F09CC" w:rsidRPr="00B23DEB">
        <w:t xml:space="preserve">context </w:t>
      </w:r>
      <w:r w:rsidR="00057A78" w:rsidRPr="00B23DEB">
        <w:t xml:space="preserve">to </w:t>
      </w:r>
      <w:r w:rsidR="000225E6" w:rsidRPr="00B23DEB">
        <w:t xml:space="preserve">the </w:t>
      </w:r>
      <w:r w:rsidR="00057A78" w:rsidRPr="00B23DEB">
        <w:t xml:space="preserve">investigation of serious crimes and punishment of the </w:t>
      </w:r>
      <w:r w:rsidR="002F09CC" w:rsidRPr="00B23DEB">
        <w:t>perpetrators</w:t>
      </w:r>
      <w:r w:rsidR="00057A78" w:rsidRPr="00B23DEB">
        <w:t xml:space="preserve"> over the protection of the right to respect for the memory of dec</w:t>
      </w:r>
      <w:r w:rsidR="002F09CC" w:rsidRPr="00B23DEB">
        <w:t xml:space="preserve">eased </w:t>
      </w:r>
      <w:r w:rsidR="00057A78" w:rsidRPr="00B23DEB">
        <w:t>family members.</w:t>
      </w:r>
    </w:p>
    <w:p w:rsidR="00181422" w:rsidRPr="00B23DEB" w:rsidRDefault="00ED23AE" w:rsidP="00B23DEB">
      <w:pPr>
        <w:pStyle w:val="ECHRPara"/>
      </w:pPr>
      <w:r w:rsidRPr="00B23DEB">
        <w:fldChar w:fldCharType="begin"/>
      </w:r>
      <w:r w:rsidRPr="00B23DEB">
        <w:instrText xml:space="preserve"> SEQ level0 \*arabic </w:instrText>
      </w:r>
      <w:r w:rsidRPr="00B23DEB">
        <w:fldChar w:fldCharType="separate"/>
      </w:r>
      <w:r w:rsidR="006549E3">
        <w:rPr>
          <w:noProof/>
        </w:rPr>
        <w:t>42</w:t>
      </w:r>
      <w:r w:rsidRPr="00B23DEB">
        <w:fldChar w:fldCharType="end"/>
      </w:r>
      <w:r w:rsidRPr="00B23DEB">
        <w:t>.  </w:t>
      </w:r>
      <w:r w:rsidR="00C25C70" w:rsidRPr="00B23DEB">
        <w:t>On 5 December 2016 the Warsaw Court of</w:t>
      </w:r>
      <w:r w:rsidR="000225E6" w:rsidRPr="00B23DEB">
        <w:t xml:space="preserve"> Appeal dismissed </w:t>
      </w:r>
      <w:r w:rsidR="006209AF" w:rsidRPr="00B23DEB">
        <w:t xml:space="preserve">an </w:t>
      </w:r>
      <w:r w:rsidR="00C25C70" w:rsidRPr="00B23DEB">
        <w:t>interlocutory appeal</w:t>
      </w:r>
      <w:r w:rsidR="006209AF" w:rsidRPr="00B23DEB">
        <w:t xml:space="preserve"> lodged by the applicants</w:t>
      </w:r>
      <w:r w:rsidR="00C25C70" w:rsidRPr="00B23DEB">
        <w:t xml:space="preserve"> </w:t>
      </w:r>
      <w:r w:rsidR="006209AF" w:rsidRPr="00B23DEB">
        <w:t xml:space="preserve">and upheld </w:t>
      </w:r>
      <w:r w:rsidR="00264043" w:rsidRPr="00B23DEB">
        <w:t>the Regional Court</w:t>
      </w:r>
      <w:r w:rsidR="00B23DEB" w:rsidRPr="00B23DEB">
        <w:t>’</w:t>
      </w:r>
      <w:r w:rsidR="00264043" w:rsidRPr="00B23DEB">
        <w:t xml:space="preserve">s findings. </w:t>
      </w:r>
      <w:r w:rsidR="00216EAE" w:rsidRPr="00B23DEB">
        <w:t xml:space="preserve">The Court of Appeal </w:t>
      </w:r>
      <w:r w:rsidR="002625CC" w:rsidRPr="00B23DEB">
        <w:t xml:space="preserve">noted that its decision could not have been altered by the </w:t>
      </w:r>
      <w:r w:rsidR="00216EAE" w:rsidRPr="00B23DEB">
        <w:t>applicants</w:t>
      </w:r>
      <w:r w:rsidR="00B23DEB" w:rsidRPr="00B23DEB">
        <w:t>’</w:t>
      </w:r>
      <w:r w:rsidR="00216EAE" w:rsidRPr="00B23DEB">
        <w:t xml:space="preserve"> argument </w:t>
      </w:r>
      <w:r w:rsidR="002625CC" w:rsidRPr="00B23DEB">
        <w:t>about the un</w:t>
      </w:r>
      <w:r w:rsidR="00D05A2D" w:rsidRPr="00B23DEB">
        <w:t>constitutionality</w:t>
      </w:r>
      <w:r w:rsidR="00216EAE" w:rsidRPr="00B23DEB">
        <w:t xml:space="preserve"> of </w:t>
      </w:r>
      <w:r w:rsidR="00D05A2D" w:rsidRPr="00B23DEB">
        <w:t>Article</w:t>
      </w:r>
      <w:r w:rsidR="00216EAE" w:rsidRPr="00B23DEB">
        <w:t xml:space="preserve"> 209 </w:t>
      </w:r>
      <w:r w:rsidR="002625CC" w:rsidRPr="00B23DEB">
        <w:t xml:space="preserve">§ 1 and </w:t>
      </w:r>
      <w:r w:rsidR="00A17837" w:rsidRPr="00B23DEB">
        <w:t xml:space="preserve">Article </w:t>
      </w:r>
      <w:r w:rsidR="002625CC" w:rsidRPr="00B23DEB">
        <w:t xml:space="preserve">210 of the CCP </w:t>
      </w:r>
      <w:r w:rsidR="00A17837" w:rsidRPr="00B23DEB">
        <w:t xml:space="preserve">because </w:t>
      </w:r>
      <w:r w:rsidR="002625CC" w:rsidRPr="00B23DEB">
        <w:t xml:space="preserve">the </w:t>
      </w:r>
      <w:r w:rsidR="00216EAE" w:rsidRPr="00B23DEB">
        <w:t>prosecutor</w:t>
      </w:r>
      <w:r w:rsidR="00B23DEB" w:rsidRPr="00B23DEB">
        <w:t>’</w:t>
      </w:r>
      <w:r w:rsidR="006209AF" w:rsidRPr="00B23DEB">
        <w:t>s</w:t>
      </w:r>
      <w:r w:rsidR="00216EAE" w:rsidRPr="00B23DEB">
        <w:t xml:space="preserve"> dec</w:t>
      </w:r>
      <w:r w:rsidR="002625CC" w:rsidRPr="00B23DEB">
        <w:t>i</w:t>
      </w:r>
      <w:r w:rsidR="00D05A2D" w:rsidRPr="00B23DEB">
        <w:t>sion</w:t>
      </w:r>
      <w:r w:rsidR="002625CC" w:rsidRPr="00B23DEB">
        <w:t xml:space="preserve"> ordering exhumation was not amenable to appeal. It found that </w:t>
      </w:r>
      <w:r w:rsidR="006209AF" w:rsidRPr="00B23DEB">
        <w:t xml:space="preserve">even if those provisions were </w:t>
      </w:r>
      <w:r w:rsidR="00CE09C3" w:rsidRPr="00B23DEB">
        <w:t>eventual</w:t>
      </w:r>
      <w:r w:rsidR="006209AF" w:rsidRPr="00B23DEB">
        <w:t>ly</w:t>
      </w:r>
      <w:r w:rsidR="00CE09C3" w:rsidRPr="00B23DEB">
        <w:t xml:space="preserve"> </w:t>
      </w:r>
      <w:r w:rsidR="006209AF" w:rsidRPr="00B23DEB">
        <w:t xml:space="preserve">found to be </w:t>
      </w:r>
      <w:r w:rsidR="00CE09C3" w:rsidRPr="00B23DEB">
        <w:t>u</w:t>
      </w:r>
      <w:r w:rsidR="002625CC" w:rsidRPr="00B23DEB">
        <w:t>n</w:t>
      </w:r>
      <w:r w:rsidR="00D05A2D" w:rsidRPr="00B23DEB">
        <w:t>constitutional</w:t>
      </w:r>
      <w:r w:rsidR="006209AF" w:rsidRPr="00B23DEB">
        <w:t>,</w:t>
      </w:r>
      <w:r w:rsidR="002625CC" w:rsidRPr="00B23DEB">
        <w:t xml:space="preserve"> </w:t>
      </w:r>
      <w:r w:rsidR="006209AF" w:rsidRPr="00B23DEB">
        <w:t xml:space="preserve">that </w:t>
      </w:r>
      <w:r w:rsidR="002625CC" w:rsidRPr="00B23DEB">
        <w:t>would not render the prosecutor</w:t>
      </w:r>
      <w:r w:rsidR="00B23DEB" w:rsidRPr="00B23DEB">
        <w:t>’</w:t>
      </w:r>
      <w:r w:rsidR="002625CC" w:rsidRPr="00B23DEB">
        <w:t>s decision unlawful.</w:t>
      </w:r>
    </w:p>
    <w:p w:rsidR="00181422" w:rsidRPr="00B23DEB" w:rsidRDefault="00642C37" w:rsidP="00B23DEB">
      <w:pPr>
        <w:pStyle w:val="ECHRHeading1"/>
      </w:pPr>
      <w:r w:rsidRPr="00B23DEB">
        <w:t>II.  RELEVANT DOMESTIC LAW</w:t>
      </w:r>
    </w:p>
    <w:p w:rsidR="00181422" w:rsidRPr="00B23DEB" w:rsidRDefault="00C7382B" w:rsidP="00B23DEB">
      <w:pPr>
        <w:pStyle w:val="ECHRHeading2"/>
      </w:pPr>
      <w:r w:rsidRPr="00B23DEB">
        <w:t>A.  </w:t>
      </w:r>
      <w:r w:rsidR="00753C4C" w:rsidRPr="00B23DEB">
        <w:t>Constitution of the Republic of Poland</w:t>
      </w:r>
    </w:p>
    <w:p w:rsidR="00181422" w:rsidRPr="00B23DEB" w:rsidRDefault="00E941D8" w:rsidP="00B23DEB">
      <w:pPr>
        <w:pStyle w:val="ECHRPara"/>
      </w:pPr>
      <w:r w:rsidRPr="00B23DEB">
        <w:fldChar w:fldCharType="begin"/>
      </w:r>
      <w:r w:rsidRPr="00B23DEB">
        <w:instrText xml:space="preserve"> SEQ level0 \*arabic </w:instrText>
      </w:r>
      <w:r w:rsidRPr="00B23DEB">
        <w:fldChar w:fldCharType="separate"/>
      </w:r>
      <w:r w:rsidR="006549E3">
        <w:rPr>
          <w:noProof/>
        </w:rPr>
        <w:t>43</w:t>
      </w:r>
      <w:r w:rsidRPr="00B23DEB">
        <w:fldChar w:fldCharType="end"/>
      </w:r>
      <w:r w:rsidR="00642C37" w:rsidRPr="00B23DEB">
        <w:t>.  </w:t>
      </w:r>
      <w:r w:rsidR="008F685F" w:rsidRPr="00B23DEB">
        <w:t>The relevant provisions of the Constitution read as follows:</w:t>
      </w:r>
    </w:p>
    <w:p w:rsidR="004869E7" w:rsidRPr="00B23DEB" w:rsidRDefault="004869E7" w:rsidP="00B23DEB">
      <w:pPr>
        <w:pStyle w:val="ECHRTitleCentre3"/>
      </w:pPr>
      <w:r w:rsidRPr="00B23DEB">
        <w:t>Article 45 § 1</w:t>
      </w:r>
    </w:p>
    <w:p w:rsidR="00753C4C" w:rsidRPr="00B23DEB" w:rsidRDefault="00753C4C" w:rsidP="00B23DEB">
      <w:pPr>
        <w:pStyle w:val="ECHRParaQuote"/>
      </w:pPr>
      <w:r w:rsidRPr="00B23DEB">
        <w:t>“Everyone shall have the right to a fair and public hearing of his case, without undue delay, before a competent, impartial and independent court.</w:t>
      </w:r>
    </w:p>
    <w:p w:rsidR="004869E7" w:rsidRPr="00B23DEB" w:rsidRDefault="004869E7" w:rsidP="00B23DEB">
      <w:pPr>
        <w:pStyle w:val="ECHRTitleCentre3"/>
      </w:pPr>
      <w:r w:rsidRPr="00B23DEB">
        <w:t>Article 47</w:t>
      </w:r>
    </w:p>
    <w:p w:rsidR="00753C4C" w:rsidRPr="00B23DEB" w:rsidRDefault="00753C4C" w:rsidP="00B23DEB">
      <w:pPr>
        <w:pStyle w:val="ECHRParaQuote"/>
      </w:pPr>
      <w:r w:rsidRPr="00B23DEB">
        <w:t>“Everyone shall have the right to legal protection of his private and family life, of his honour and good reputation and to make decisions about his personal life.”</w:t>
      </w:r>
    </w:p>
    <w:p w:rsidR="004869E7" w:rsidRPr="00B23DEB" w:rsidRDefault="004869E7" w:rsidP="00B23DEB">
      <w:pPr>
        <w:pStyle w:val="ECHRTitleCentre3"/>
      </w:pPr>
      <w:r w:rsidRPr="00B23DEB">
        <w:t>Article 77 § 2</w:t>
      </w:r>
    </w:p>
    <w:p w:rsidR="00753C4C" w:rsidRPr="00B23DEB" w:rsidRDefault="00753C4C" w:rsidP="00B23DEB">
      <w:pPr>
        <w:pStyle w:val="ECHRParaQuote"/>
      </w:pPr>
      <w:r w:rsidRPr="00B23DEB">
        <w:t xml:space="preserve">“Statutes shall not bar any person </w:t>
      </w:r>
      <w:r w:rsidR="004F727A" w:rsidRPr="00B23DEB">
        <w:t xml:space="preserve">from having recourse </w:t>
      </w:r>
      <w:r w:rsidRPr="00B23DEB">
        <w:t>to the courts in pursuit of claims alleging infringement of freedoms or rights.”</w:t>
      </w:r>
    </w:p>
    <w:p w:rsidR="0095130B" w:rsidRPr="00B23DEB" w:rsidRDefault="0095130B" w:rsidP="00B23DEB">
      <w:pPr>
        <w:pStyle w:val="ECHRParaQuote"/>
        <w:ind w:left="0" w:firstLine="0"/>
        <w:jc w:val="center"/>
        <w:rPr>
          <w:b/>
        </w:rPr>
      </w:pPr>
      <w:r w:rsidRPr="00B23DEB">
        <w:rPr>
          <w:b/>
        </w:rPr>
        <w:t>Article 79 § 1</w:t>
      </w:r>
    </w:p>
    <w:p w:rsidR="0095130B" w:rsidRPr="00B23DEB" w:rsidRDefault="0095130B" w:rsidP="00B23DEB">
      <w:pPr>
        <w:pStyle w:val="ECHRParaQuote"/>
      </w:pPr>
      <w:r w:rsidRPr="00B23DEB">
        <w:t xml:space="preserve">“In accordance with principles specified by statute, </w:t>
      </w:r>
      <w:r w:rsidR="004F727A" w:rsidRPr="00B23DEB">
        <w:t xml:space="preserve">anyone </w:t>
      </w:r>
      <w:r w:rsidRPr="00B23DEB">
        <w:t>whose constitutional freedoms or rights have been infringed shall have the right to appeal to the Constitutional Court for a judgment on the conformity with the Constitution of a statute or another normative act on the basis of which a court or an administrative authority has issued a final decision on his freedoms or rights or on his obligations specified in the Constitution.”</w:t>
      </w:r>
    </w:p>
    <w:p w:rsidR="004869E7" w:rsidRPr="00B23DEB" w:rsidRDefault="004869E7" w:rsidP="00B23DEB">
      <w:pPr>
        <w:pStyle w:val="ECHRTitleCentre3"/>
      </w:pPr>
      <w:r w:rsidRPr="00B23DEB">
        <w:t>Article 193</w:t>
      </w:r>
    </w:p>
    <w:p w:rsidR="00D545E3" w:rsidRPr="00B23DEB" w:rsidRDefault="00D545E3" w:rsidP="00B23DEB">
      <w:pPr>
        <w:pStyle w:val="ECHRParaQuote"/>
      </w:pPr>
      <w:r w:rsidRPr="00B23DEB">
        <w:t>“</w:t>
      </w:r>
      <w:r w:rsidR="009F0EE3" w:rsidRPr="00B23DEB">
        <w:t xml:space="preserve">Any court may refer to the Constitutional </w:t>
      </w:r>
      <w:r w:rsidR="00033298" w:rsidRPr="00B23DEB">
        <w:t xml:space="preserve">Court </w:t>
      </w:r>
      <w:r w:rsidR="00C31137" w:rsidRPr="00B23DEB">
        <w:t xml:space="preserve">a question of law </w:t>
      </w:r>
      <w:r w:rsidR="009F0EE3" w:rsidRPr="00B23DEB">
        <w:t xml:space="preserve">as to </w:t>
      </w:r>
      <w:r w:rsidR="00C31137" w:rsidRPr="00B23DEB">
        <w:t xml:space="preserve">whether </w:t>
      </w:r>
      <w:r w:rsidR="00181422" w:rsidRPr="00B23DEB">
        <w:t>a </w:t>
      </w:r>
      <w:r w:rsidR="009F0EE3" w:rsidRPr="00B23DEB">
        <w:t xml:space="preserve">normative act </w:t>
      </w:r>
      <w:r w:rsidR="00C31137" w:rsidRPr="00B23DEB">
        <w:t xml:space="preserve">is in conformity with </w:t>
      </w:r>
      <w:r w:rsidR="009F0EE3" w:rsidRPr="00B23DEB">
        <w:t>the Constitution, ratified international agreements or statute</w:t>
      </w:r>
      <w:r w:rsidR="00C31137" w:rsidRPr="00B23DEB">
        <w:t>s</w:t>
      </w:r>
      <w:r w:rsidR="009F0EE3" w:rsidRPr="00B23DEB">
        <w:t>, if the answer to such question of law will determine an issue currently [pending] before such court.”</w:t>
      </w:r>
    </w:p>
    <w:p w:rsidR="00753C4C" w:rsidRPr="00B23DEB" w:rsidRDefault="00C7382B" w:rsidP="00B23DEB">
      <w:pPr>
        <w:pStyle w:val="ECHRHeading2"/>
      </w:pPr>
      <w:r w:rsidRPr="00B23DEB">
        <w:t>B.  </w:t>
      </w:r>
      <w:r w:rsidR="00753C4C" w:rsidRPr="00B23DEB">
        <w:t>Code of Criminal Procedure</w:t>
      </w:r>
    </w:p>
    <w:p w:rsidR="00181422" w:rsidRPr="00B23DEB" w:rsidRDefault="008A056B" w:rsidP="00B23DEB">
      <w:pPr>
        <w:pStyle w:val="ECHRPara"/>
      </w:pPr>
      <w:r w:rsidRPr="00B23DEB">
        <w:fldChar w:fldCharType="begin"/>
      </w:r>
      <w:r w:rsidRPr="00B23DEB">
        <w:instrText xml:space="preserve"> SEQ level0 \*arabic </w:instrText>
      </w:r>
      <w:r w:rsidRPr="00B23DEB">
        <w:fldChar w:fldCharType="separate"/>
      </w:r>
      <w:r w:rsidR="006549E3">
        <w:rPr>
          <w:noProof/>
        </w:rPr>
        <w:t>44</w:t>
      </w:r>
      <w:r w:rsidRPr="00B23DEB">
        <w:fldChar w:fldCharType="end"/>
      </w:r>
      <w:r w:rsidR="00FE0A84" w:rsidRPr="00B23DEB">
        <w:t xml:space="preserve">.  Article 236 of the CCP </w:t>
      </w:r>
      <w:r w:rsidR="005802EB" w:rsidRPr="00B23DEB">
        <w:t xml:space="preserve">provides </w:t>
      </w:r>
      <w:r w:rsidR="00FE0A84" w:rsidRPr="00B23DEB">
        <w:t xml:space="preserve">that persons whose rights have been violated by an order for search and seizure </w:t>
      </w:r>
      <w:r w:rsidR="00D65CCF" w:rsidRPr="00B23DEB">
        <w:t xml:space="preserve">issued </w:t>
      </w:r>
      <w:r w:rsidR="00EA0478" w:rsidRPr="00B23DEB">
        <w:t xml:space="preserve">in the course of </w:t>
      </w:r>
      <w:r w:rsidR="005802EB" w:rsidRPr="00B23DEB">
        <w:t xml:space="preserve">an </w:t>
      </w:r>
      <w:r w:rsidR="00EA0478" w:rsidRPr="00B23DEB">
        <w:t xml:space="preserve">investigation </w:t>
      </w:r>
      <w:r w:rsidR="00FE0A84" w:rsidRPr="00B23DEB">
        <w:t>have the right to lodge an interlocutory appeal against such an order</w:t>
      </w:r>
      <w:r w:rsidR="00EA0478" w:rsidRPr="00B23DEB">
        <w:t xml:space="preserve"> with a district court</w:t>
      </w:r>
      <w:r w:rsidR="00FE0A84" w:rsidRPr="00B23DEB">
        <w:t>.</w:t>
      </w:r>
      <w:r w:rsidR="00D65CCF" w:rsidRPr="00B23DEB">
        <w:t xml:space="preserve"> </w:t>
      </w:r>
      <w:r w:rsidRPr="00B23DEB">
        <w:t xml:space="preserve">Article 240 </w:t>
      </w:r>
      <w:r w:rsidR="00D65CCF" w:rsidRPr="00B23DEB">
        <w:t xml:space="preserve">of the CCP provides </w:t>
      </w:r>
      <w:r w:rsidR="00181422" w:rsidRPr="00B23DEB">
        <w:t>that a </w:t>
      </w:r>
      <w:r w:rsidR="00D65CCF" w:rsidRPr="00B23DEB">
        <w:t>prosecutor</w:t>
      </w:r>
      <w:r w:rsidR="00B23DEB" w:rsidRPr="00B23DEB">
        <w:t>’</w:t>
      </w:r>
      <w:r w:rsidR="00D65CCF" w:rsidRPr="00B23DEB">
        <w:t xml:space="preserve">s order for </w:t>
      </w:r>
      <w:r w:rsidR="005802EB" w:rsidRPr="00B23DEB">
        <w:t xml:space="preserve">the </w:t>
      </w:r>
      <w:r w:rsidRPr="00B23DEB">
        <w:t xml:space="preserve">interception and recording of telephone conversations </w:t>
      </w:r>
      <w:r w:rsidR="00D65CCF" w:rsidRPr="00B23DEB">
        <w:t xml:space="preserve">is susceptible to an interlocutory appeal. </w:t>
      </w:r>
      <w:r w:rsidR="005802EB" w:rsidRPr="00B23DEB">
        <w:t xml:space="preserve">Under </w:t>
      </w:r>
      <w:r w:rsidR="00D65CCF" w:rsidRPr="00B23DEB">
        <w:t xml:space="preserve">Article </w:t>
      </w:r>
      <w:r w:rsidR="004B27E4" w:rsidRPr="00B23DEB">
        <w:t>2</w:t>
      </w:r>
      <w:r w:rsidR="00C7382B" w:rsidRPr="00B23DEB">
        <w:t>52 § </w:t>
      </w:r>
      <w:r w:rsidR="004B27E4" w:rsidRPr="00B23DEB">
        <w:t>2</w:t>
      </w:r>
      <w:r w:rsidR="00D65CCF" w:rsidRPr="00B23DEB">
        <w:t xml:space="preserve"> of the CCP, the same rule is applicable to a prosecutor</w:t>
      </w:r>
      <w:r w:rsidR="00B23DEB" w:rsidRPr="00B23DEB">
        <w:t>’</w:t>
      </w:r>
      <w:r w:rsidR="00D65CCF" w:rsidRPr="00B23DEB">
        <w:t xml:space="preserve">s order for </w:t>
      </w:r>
      <w:r w:rsidR="005802EB" w:rsidRPr="00B23DEB">
        <w:t xml:space="preserve">the </w:t>
      </w:r>
      <w:r w:rsidR="00D65CCF" w:rsidRPr="00B23DEB">
        <w:t>application of a preventive measure.</w:t>
      </w:r>
    </w:p>
    <w:p w:rsidR="00753C4C" w:rsidRPr="00B23DEB" w:rsidRDefault="00D65CCF" w:rsidP="00B23DEB">
      <w:pPr>
        <w:pStyle w:val="ECHRPara"/>
      </w:pPr>
      <w:r w:rsidRPr="00B23DEB">
        <w:fldChar w:fldCharType="begin"/>
      </w:r>
      <w:r w:rsidRPr="00B23DEB">
        <w:instrText xml:space="preserve"> SEQ level0 \*arabic </w:instrText>
      </w:r>
      <w:r w:rsidRPr="00B23DEB">
        <w:fldChar w:fldCharType="separate"/>
      </w:r>
      <w:r w:rsidR="006549E3">
        <w:rPr>
          <w:noProof/>
        </w:rPr>
        <w:t>45</w:t>
      </w:r>
      <w:r w:rsidRPr="00B23DEB">
        <w:fldChar w:fldCharType="end"/>
      </w:r>
      <w:r w:rsidRPr="00B23DEB">
        <w:t>.  </w:t>
      </w:r>
      <w:r w:rsidR="00753C4C" w:rsidRPr="00B23DEB">
        <w:t>Article 209 of the C</w:t>
      </w:r>
      <w:r w:rsidR="0099505E" w:rsidRPr="00B23DEB">
        <w:t>CP, in so far as relevant, reads</w:t>
      </w:r>
      <w:r w:rsidR="00753C4C" w:rsidRPr="00B23DEB">
        <w:t>:</w:t>
      </w:r>
    </w:p>
    <w:p w:rsidR="00630364" w:rsidRPr="00B23DEB" w:rsidRDefault="00753C4C" w:rsidP="00B23DEB">
      <w:pPr>
        <w:pStyle w:val="ECHRParaQuote"/>
      </w:pPr>
      <w:r w:rsidRPr="00B23DEB">
        <w:t>“1. If it is suspected that death has been caused by criminal means, an examination of the corpse and an autopsy shall be ordered.</w:t>
      </w:r>
    </w:p>
    <w:p w:rsidR="00630364" w:rsidRPr="00B23DEB" w:rsidRDefault="00181422" w:rsidP="00B23DEB">
      <w:pPr>
        <w:pStyle w:val="ECHRParaQuote"/>
      </w:pPr>
      <w:r w:rsidRPr="00B23DEB">
        <w:t>...</w:t>
      </w:r>
    </w:p>
    <w:p w:rsidR="00753C4C" w:rsidRPr="00B23DEB" w:rsidRDefault="00630364" w:rsidP="00B23DEB">
      <w:pPr>
        <w:pStyle w:val="ECHRParaQuote"/>
      </w:pPr>
      <w:r w:rsidRPr="00B23DEB">
        <w:t>4. An autopsy shall be carried out by an expert in th</w:t>
      </w:r>
      <w:r w:rsidR="00181422" w:rsidRPr="00B23DEB">
        <w:t>e presence of a prosecutor or a </w:t>
      </w:r>
      <w:r w:rsidRPr="00B23DEB">
        <w:t xml:space="preserve">court. </w:t>
      </w:r>
      <w:r w:rsidR="00181422" w:rsidRPr="00B23DEB">
        <w:t>...</w:t>
      </w:r>
      <w:r w:rsidR="00753C4C" w:rsidRPr="00B23DEB">
        <w:t>”</w:t>
      </w:r>
    </w:p>
    <w:p w:rsidR="00753C4C" w:rsidRPr="00B23DEB" w:rsidRDefault="005707FE" w:rsidP="00B23DEB">
      <w:pPr>
        <w:pStyle w:val="ECHRPara"/>
      </w:pPr>
      <w:r w:rsidRPr="00B23DEB">
        <w:fldChar w:fldCharType="begin"/>
      </w:r>
      <w:r w:rsidRPr="00B23DEB">
        <w:instrText xml:space="preserve"> SEQ level0 \*arabic </w:instrText>
      </w:r>
      <w:r w:rsidRPr="00B23DEB">
        <w:fldChar w:fldCharType="separate"/>
      </w:r>
      <w:r w:rsidR="006549E3">
        <w:rPr>
          <w:noProof/>
        </w:rPr>
        <w:t>46</w:t>
      </w:r>
      <w:r w:rsidRPr="00B23DEB">
        <w:fldChar w:fldCharType="end"/>
      </w:r>
      <w:r w:rsidRPr="00B23DEB">
        <w:t>.  </w:t>
      </w:r>
      <w:r w:rsidR="00753C4C" w:rsidRPr="00B23DEB">
        <w:t>Article 210</w:t>
      </w:r>
      <w:r w:rsidR="00815C15" w:rsidRPr="00B23DEB">
        <w:t xml:space="preserve"> of the CCP</w:t>
      </w:r>
      <w:r w:rsidR="00753C4C" w:rsidRPr="00B23DEB">
        <w:t xml:space="preserve"> reads:</w:t>
      </w:r>
    </w:p>
    <w:p w:rsidR="00753C4C" w:rsidRPr="00B23DEB" w:rsidRDefault="00753C4C" w:rsidP="00B23DEB">
      <w:pPr>
        <w:pStyle w:val="ECHRParaQuote"/>
      </w:pPr>
      <w:r w:rsidRPr="00B23DEB">
        <w:t>“In order to conduct an examination of the corpse or an autopsy, the prosecutor or the court may order exhumation of a corpse”.</w:t>
      </w:r>
    </w:p>
    <w:p w:rsidR="009F0EE3" w:rsidRPr="00B23DEB" w:rsidRDefault="00C7382B" w:rsidP="00B23DEB">
      <w:pPr>
        <w:pStyle w:val="ECHRHeading2"/>
      </w:pPr>
      <w:r w:rsidRPr="00B23DEB">
        <w:t>C.  </w:t>
      </w:r>
      <w:r w:rsidR="00597CAE" w:rsidRPr="00B23DEB">
        <w:t>T</w:t>
      </w:r>
      <w:r w:rsidR="009F0EE3" w:rsidRPr="00B23DEB">
        <w:t xml:space="preserve">he </w:t>
      </w:r>
      <w:r w:rsidR="00597CAE" w:rsidRPr="00B23DEB">
        <w:t>Cemeteries and Burials Act of 31 January 1959</w:t>
      </w:r>
    </w:p>
    <w:p w:rsidR="00181422" w:rsidRPr="00B23DEB" w:rsidRDefault="00E55822" w:rsidP="00B23DEB">
      <w:pPr>
        <w:pStyle w:val="ECHRPara"/>
      </w:pPr>
      <w:r w:rsidRPr="00B23DEB">
        <w:fldChar w:fldCharType="begin"/>
      </w:r>
      <w:r w:rsidRPr="00B23DEB">
        <w:instrText xml:space="preserve"> SEQ level0 \*arabic </w:instrText>
      </w:r>
      <w:r w:rsidRPr="00B23DEB">
        <w:fldChar w:fldCharType="separate"/>
      </w:r>
      <w:r w:rsidR="006549E3">
        <w:rPr>
          <w:noProof/>
        </w:rPr>
        <w:t>47</w:t>
      </w:r>
      <w:r w:rsidRPr="00B23DEB">
        <w:rPr>
          <w:noProof/>
        </w:rPr>
        <w:fldChar w:fldCharType="end"/>
      </w:r>
      <w:r w:rsidR="00597CAE" w:rsidRPr="00B23DEB">
        <w:t>.  </w:t>
      </w:r>
      <w:r w:rsidR="00337024" w:rsidRPr="00B23DEB">
        <w:t>Section 10</w:t>
      </w:r>
      <w:r w:rsidR="005802EB" w:rsidRPr="00B23DEB">
        <w:t>(</w:t>
      </w:r>
      <w:r w:rsidR="00337024" w:rsidRPr="00B23DEB">
        <w:t>1</w:t>
      </w:r>
      <w:r w:rsidR="005802EB" w:rsidRPr="00B23DEB">
        <w:t>)</w:t>
      </w:r>
      <w:r w:rsidR="00337024" w:rsidRPr="00B23DEB">
        <w:t xml:space="preserve"> of the Cemeteries and Burials Act (</w:t>
      </w:r>
      <w:r w:rsidR="00181422" w:rsidRPr="00B23DEB">
        <w:rPr>
          <w:i/>
        </w:rPr>
        <w:t>ustawa o </w:t>
      </w:r>
      <w:r w:rsidR="00337024" w:rsidRPr="00B23DEB">
        <w:rPr>
          <w:i/>
        </w:rPr>
        <w:t>cmentarzach i chowaniu zmarłych</w:t>
      </w:r>
      <w:r w:rsidR="00337024" w:rsidRPr="00B23DEB">
        <w:t xml:space="preserve">) </w:t>
      </w:r>
      <w:r w:rsidR="005802EB" w:rsidRPr="00B23DEB">
        <w:t xml:space="preserve">provides </w:t>
      </w:r>
      <w:r w:rsidR="004755BF" w:rsidRPr="00B23DEB">
        <w:t xml:space="preserve">that the surviving close family of a deceased </w:t>
      </w:r>
      <w:r w:rsidR="005802EB" w:rsidRPr="00B23DEB">
        <w:t xml:space="preserve">person </w:t>
      </w:r>
      <w:r w:rsidR="004755BF" w:rsidRPr="00B23DEB">
        <w:t xml:space="preserve">has the right to bury </w:t>
      </w:r>
      <w:r w:rsidR="005802EB" w:rsidRPr="00B23DEB">
        <w:t>the</w:t>
      </w:r>
      <w:r w:rsidR="004755BF" w:rsidRPr="00B23DEB">
        <w:t xml:space="preserve"> corpse.</w:t>
      </w:r>
    </w:p>
    <w:p w:rsidR="00181422" w:rsidRPr="00B23DEB" w:rsidRDefault="004755BF" w:rsidP="00B23DEB">
      <w:pPr>
        <w:pStyle w:val="ECHRPara"/>
      </w:pPr>
      <w:r w:rsidRPr="00B23DEB">
        <w:fldChar w:fldCharType="begin"/>
      </w:r>
      <w:r w:rsidRPr="00B23DEB">
        <w:instrText xml:space="preserve"> SEQ level0 \*arabic </w:instrText>
      </w:r>
      <w:r w:rsidRPr="00B23DEB">
        <w:fldChar w:fldCharType="separate"/>
      </w:r>
      <w:r w:rsidR="006549E3">
        <w:rPr>
          <w:noProof/>
        </w:rPr>
        <w:t>48</w:t>
      </w:r>
      <w:r w:rsidRPr="00B23DEB">
        <w:fldChar w:fldCharType="end"/>
      </w:r>
      <w:r w:rsidRPr="00B23DEB">
        <w:t>.  </w:t>
      </w:r>
      <w:r w:rsidR="00597CAE" w:rsidRPr="00B23DEB">
        <w:t>Section 15</w:t>
      </w:r>
      <w:r w:rsidR="005802EB" w:rsidRPr="00B23DEB">
        <w:t>(</w:t>
      </w:r>
      <w:r w:rsidR="00597CAE" w:rsidRPr="00B23DEB">
        <w:t>1</w:t>
      </w:r>
      <w:r w:rsidR="005802EB" w:rsidRPr="00B23DEB">
        <w:t>)</w:t>
      </w:r>
      <w:r w:rsidR="00597CAE" w:rsidRPr="00B23DEB">
        <w:t xml:space="preserve"> of the Act provides, in so far as relevant:</w:t>
      </w:r>
    </w:p>
    <w:p w:rsidR="00597CAE" w:rsidRPr="00B23DEB" w:rsidRDefault="00597CAE" w:rsidP="00B23DEB">
      <w:pPr>
        <w:pStyle w:val="ECHRParaQuote"/>
      </w:pPr>
      <w:r w:rsidRPr="00B23DEB">
        <w:t>“</w:t>
      </w:r>
      <w:r w:rsidR="005802EB" w:rsidRPr="00B23DEB">
        <w:t>The e</w:t>
      </w:r>
      <w:r w:rsidRPr="00B23DEB">
        <w:t xml:space="preserve">xhumation of </w:t>
      </w:r>
      <w:r w:rsidR="005802EB" w:rsidRPr="00B23DEB">
        <w:t xml:space="preserve">a </w:t>
      </w:r>
      <w:r w:rsidRPr="00B23DEB">
        <w:t>corpse and remains may be undertaken:</w:t>
      </w:r>
    </w:p>
    <w:p w:rsidR="00181422" w:rsidRPr="00B23DEB" w:rsidRDefault="005707FE" w:rsidP="00B23DEB">
      <w:pPr>
        <w:pStyle w:val="JuQuotSub"/>
      </w:pPr>
      <w:r w:rsidRPr="00B23DEB">
        <w:t xml:space="preserve">1) </w:t>
      </w:r>
      <w:r w:rsidR="005802EB" w:rsidRPr="00B23DEB">
        <w:t xml:space="preserve">following </w:t>
      </w:r>
      <w:r w:rsidRPr="00B23DEB">
        <w:t xml:space="preserve">a reasoned request </w:t>
      </w:r>
      <w:r w:rsidR="005802EB" w:rsidRPr="00B23DEB">
        <w:t xml:space="preserve">by </w:t>
      </w:r>
      <w:r w:rsidRPr="00B23DEB">
        <w:t xml:space="preserve">the persons entitled to bury </w:t>
      </w:r>
      <w:r w:rsidR="0088009C" w:rsidRPr="00B23DEB">
        <w:t>the</w:t>
      </w:r>
      <w:r w:rsidRPr="00B23DEB">
        <w:t xml:space="preserve"> corpse with </w:t>
      </w:r>
      <w:r w:rsidR="005802EB" w:rsidRPr="00B23DEB">
        <w:t xml:space="preserve">the </w:t>
      </w:r>
      <w:r w:rsidRPr="00B23DEB">
        <w:t>agreement of a relevant sanitary inspector,</w:t>
      </w:r>
    </w:p>
    <w:p w:rsidR="00597CAE" w:rsidRPr="00B23DEB" w:rsidRDefault="00597CAE" w:rsidP="00B23DEB">
      <w:pPr>
        <w:pStyle w:val="JuQuotSub"/>
      </w:pPr>
      <w:r w:rsidRPr="00B23DEB">
        <w:t xml:space="preserve">2) </w:t>
      </w:r>
      <w:r w:rsidR="005802EB" w:rsidRPr="00B23DEB">
        <w:t xml:space="preserve">following </w:t>
      </w:r>
      <w:r w:rsidRPr="00B23DEB">
        <w:t xml:space="preserve">an order </w:t>
      </w:r>
      <w:r w:rsidR="005802EB" w:rsidRPr="00B23DEB">
        <w:t xml:space="preserve">by </w:t>
      </w:r>
      <w:r w:rsidRPr="00B23DEB">
        <w:t>a prosecutor or a court;</w:t>
      </w:r>
    </w:p>
    <w:p w:rsidR="00597CAE" w:rsidRPr="00B23DEB" w:rsidRDefault="00597CAE" w:rsidP="00B23DEB">
      <w:pPr>
        <w:pStyle w:val="JuQuotSub"/>
      </w:pPr>
      <w:r w:rsidRPr="00B23DEB">
        <w:t xml:space="preserve">3) </w:t>
      </w:r>
      <w:r w:rsidR="00181422" w:rsidRPr="00B23DEB">
        <w:t>...</w:t>
      </w:r>
      <w:r w:rsidRPr="00B23DEB">
        <w:t>”</w:t>
      </w:r>
    </w:p>
    <w:p w:rsidR="00181422" w:rsidRPr="00B23DEB" w:rsidRDefault="00C7382B" w:rsidP="00B23DEB">
      <w:pPr>
        <w:pStyle w:val="ECHRHeading2"/>
      </w:pPr>
      <w:r w:rsidRPr="00B23DEB">
        <w:t>D.  </w:t>
      </w:r>
      <w:r w:rsidR="000102C3" w:rsidRPr="00B23DEB">
        <w:t>The Supreme Court</w:t>
      </w:r>
      <w:r w:rsidR="00B23DEB" w:rsidRPr="00B23DEB">
        <w:t>’</w:t>
      </w:r>
      <w:r w:rsidR="000102C3" w:rsidRPr="00B23DEB">
        <w:t>s case</w:t>
      </w:r>
      <w:r w:rsidR="005802EB" w:rsidRPr="00B23DEB">
        <w:t>-</w:t>
      </w:r>
      <w:r w:rsidR="000102C3" w:rsidRPr="00B23DEB">
        <w:t xml:space="preserve">law on </w:t>
      </w:r>
      <w:r w:rsidR="00E40F7C" w:rsidRPr="00B23DEB">
        <w:t>the right to respect for</w:t>
      </w:r>
      <w:r w:rsidR="00FF2052" w:rsidRPr="00B23DEB">
        <w:t xml:space="preserve"> the memory of a deceased relative</w:t>
      </w:r>
    </w:p>
    <w:p w:rsidR="00181422" w:rsidRPr="00B23DEB" w:rsidRDefault="00E55822" w:rsidP="00B23DEB">
      <w:pPr>
        <w:pStyle w:val="ECHRPara"/>
      </w:pPr>
      <w:r w:rsidRPr="00B23DEB">
        <w:fldChar w:fldCharType="begin"/>
      </w:r>
      <w:r w:rsidRPr="00B23DEB">
        <w:instrText xml:space="preserve"> SEQ level0 \*arabic </w:instrText>
      </w:r>
      <w:r w:rsidRPr="00B23DEB">
        <w:fldChar w:fldCharType="separate"/>
      </w:r>
      <w:r w:rsidR="006549E3">
        <w:rPr>
          <w:noProof/>
        </w:rPr>
        <w:t>49</w:t>
      </w:r>
      <w:r w:rsidRPr="00B23DEB">
        <w:rPr>
          <w:noProof/>
        </w:rPr>
        <w:fldChar w:fldCharType="end"/>
      </w:r>
      <w:r w:rsidR="00285541" w:rsidRPr="00B23DEB">
        <w:t xml:space="preserve">.  In its judgment of 23 September 2009, no. I CSK 346/08, the Supreme Court found that </w:t>
      </w:r>
      <w:r w:rsidR="005802EB" w:rsidRPr="00B23DEB">
        <w:t xml:space="preserve">the </w:t>
      </w:r>
      <w:r w:rsidR="00285541" w:rsidRPr="00B23DEB">
        <w:t xml:space="preserve">emotional sphere connected with respect </w:t>
      </w:r>
      <w:r w:rsidR="0095717D" w:rsidRPr="00B23DEB">
        <w:t xml:space="preserve">for </w:t>
      </w:r>
      <w:r w:rsidR="005802EB" w:rsidRPr="00B23DEB">
        <w:t xml:space="preserve">the </w:t>
      </w:r>
      <w:r w:rsidR="0095717D" w:rsidRPr="00B23DEB">
        <w:t xml:space="preserve">memory of </w:t>
      </w:r>
      <w:r w:rsidR="00945F7F" w:rsidRPr="00B23DEB">
        <w:t>a deceased close relative could be protected</w:t>
      </w:r>
      <w:r w:rsidR="00C7382B" w:rsidRPr="00B23DEB">
        <w:t xml:space="preserve"> by Articles </w:t>
      </w:r>
      <w:r w:rsidR="00945F7F" w:rsidRPr="00B23DEB">
        <w:t xml:space="preserve">23 and 24 of the Civil Code. </w:t>
      </w:r>
      <w:r w:rsidR="00DE22E2" w:rsidRPr="00B23DEB">
        <w:t>The personal right connected to respect for the memory of a deceased person comprised n</w:t>
      </w:r>
      <w:r w:rsidR="00181422" w:rsidRPr="00B23DEB">
        <w:t>ot only the right to organise a </w:t>
      </w:r>
      <w:r w:rsidR="00DE22E2" w:rsidRPr="00B23DEB">
        <w:t xml:space="preserve">funeral and to </w:t>
      </w:r>
      <w:r w:rsidR="0032509A" w:rsidRPr="00B23DEB">
        <w:t xml:space="preserve">pay </w:t>
      </w:r>
      <w:r w:rsidR="00ED5620" w:rsidRPr="00B23DEB">
        <w:t>one</w:t>
      </w:r>
      <w:r w:rsidR="00B23DEB" w:rsidRPr="00B23DEB">
        <w:t>’</w:t>
      </w:r>
      <w:r w:rsidR="00ED5620" w:rsidRPr="00B23DEB">
        <w:t xml:space="preserve">s </w:t>
      </w:r>
      <w:r w:rsidR="0032509A" w:rsidRPr="00B23DEB">
        <w:t xml:space="preserve">respects </w:t>
      </w:r>
      <w:r w:rsidR="00ED5620" w:rsidRPr="00B23DEB">
        <w:t xml:space="preserve">at </w:t>
      </w:r>
      <w:r w:rsidR="0032509A" w:rsidRPr="00B23DEB">
        <w:t>a grave; it also encompasse</w:t>
      </w:r>
      <w:r w:rsidR="001E0B79" w:rsidRPr="00B23DEB">
        <w:t>d</w:t>
      </w:r>
      <w:r w:rsidR="0032509A" w:rsidRPr="00B23DEB">
        <w:t xml:space="preserve"> the emotional </w:t>
      </w:r>
      <w:r w:rsidR="00821780" w:rsidRPr="00B23DEB">
        <w:t>sphere</w:t>
      </w:r>
      <w:r w:rsidR="0032509A" w:rsidRPr="00B23DEB">
        <w:t xml:space="preserve"> </w:t>
      </w:r>
      <w:r w:rsidR="001E0B79" w:rsidRPr="00B23DEB">
        <w:t xml:space="preserve">of the relatives </w:t>
      </w:r>
      <w:r w:rsidR="0070144E" w:rsidRPr="00B23DEB">
        <w:t xml:space="preserve">and the right </w:t>
      </w:r>
      <w:r w:rsidR="001E0B79" w:rsidRPr="00B23DEB">
        <w:t xml:space="preserve">to show due respect for </w:t>
      </w:r>
      <w:r w:rsidR="005802EB" w:rsidRPr="00B23DEB">
        <w:t xml:space="preserve">the </w:t>
      </w:r>
      <w:r w:rsidR="001E0B79" w:rsidRPr="00B23DEB">
        <w:t>memory of their deceased relative. It was a</w:t>
      </w:r>
      <w:r w:rsidR="00835D92" w:rsidRPr="00B23DEB">
        <w:t>n</w:t>
      </w:r>
      <w:r w:rsidR="001E0B79" w:rsidRPr="00B23DEB">
        <w:t xml:space="preserve"> independent right which </w:t>
      </w:r>
      <w:r w:rsidR="008C5AC4" w:rsidRPr="00B23DEB">
        <w:t xml:space="preserve">was based on </w:t>
      </w:r>
      <w:r w:rsidR="001E0B79" w:rsidRPr="00B23DEB">
        <w:t>the family relationship</w:t>
      </w:r>
      <w:r w:rsidR="00835D92" w:rsidRPr="00B23DEB">
        <w:t>s</w:t>
      </w:r>
      <w:r w:rsidR="001E0B79" w:rsidRPr="00B23DEB">
        <w:t xml:space="preserve"> of the entitled survi</w:t>
      </w:r>
      <w:r w:rsidR="00835D92" w:rsidRPr="00B23DEB">
        <w:t>vi</w:t>
      </w:r>
      <w:r w:rsidR="001E0B79" w:rsidRPr="00B23DEB">
        <w:t xml:space="preserve">ng relatives with </w:t>
      </w:r>
      <w:r w:rsidR="008C5AC4" w:rsidRPr="00B23DEB">
        <w:t>the</w:t>
      </w:r>
      <w:r w:rsidR="001E0B79" w:rsidRPr="00B23DEB">
        <w:t xml:space="preserve"> deceased</w:t>
      </w:r>
      <w:r w:rsidR="008C5AC4" w:rsidRPr="00B23DEB">
        <w:t xml:space="preserve"> person</w:t>
      </w:r>
      <w:r w:rsidR="001E0B79" w:rsidRPr="00B23DEB">
        <w:t>.</w:t>
      </w:r>
    </w:p>
    <w:p w:rsidR="00181422" w:rsidRPr="00B23DEB" w:rsidRDefault="00E55822" w:rsidP="00B23DEB">
      <w:pPr>
        <w:pStyle w:val="ECHRPara"/>
      </w:pPr>
      <w:r w:rsidRPr="00B23DEB">
        <w:fldChar w:fldCharType="begin"/>
      </w:r>
      <w:r w:rsidRPr="00B23DEB">
        <w:instrText xml:space="preserve"> SEQ level0 \*arabic </w:instrText>
      </w:r>
      <w:r w:rsidRPr="00B23DEB">
        <w:fldChar w:fldCharType="separate"/>
      </w:r>
      <w:r w:rsidR="006549E3">
        <w:rPr>
          <w:noProof/>
        </w:rPr>
        <w:t>50</w:t>
      </w:r>
      <w:r w:rsidRPr="00B23DEB">
        <w:rPr>
          <w:noProof/>
        </w:rPr>
        <w:fldChar w:fldCharType="end"/>
      </w:r>
      <w:r w:rsidR="000102C3" w:rsidRPr="00B23DEB">
        <w:t>.  </w:t>
      </w:r>
      <w:r w:rsidR="00E40F7C" w:rsidRPr="00B23DEB">
        <w:t xml:space="preserve">In its judgment of 10 December 2015, no. V CSK 201/15, the Supreme Court held that in accordance with its well-established case-law, the right to bury </w:t>
      </w:r>
      <w:r w:rsidR="00ED5620" w:rsidRPr="00B23DEB">
        <w:t>the</w:t>
      </w:r>
      <w:r w:rsidR="00E40F7C" w:rsidRPr="00B23DEB">
        <w:t xml:space="preserve"> corpse of a deceased </w:t>
      </w:r>
      <w:r w:rsidR="00FF2052" w:rsidRPr="00B23DEB">
        <w:t>relative</w:t>
      </w:r>
      <w:r w:rsidR="00E40F7C" w:rsidRPr="00B23DEB">
        <w:t xml:space="preserve"> (section 10</w:t>
      </w:r>
      <w:r w:rsidR="0070144E" w:rsidRPr="00B23DEB">
        <w:t>(</w:t>
      </w:r>
      <w:r w:rsidR="00E40F7C" w:rsidRPr="00B23DEB">
        <w:t>1</w:t>
      </w:r>
      <w:r w:rsidR="0070144E" w:rsidRPr="00B23DEB">
        <w:t>)</w:t>
      </w:r>
      <w:r w:rsidR="00E40F7C" w:rsidRPr="00B23DEB">
        <w:t xml:space="preserve"> of the Cemeteries and Burials Act)</w:t>
      </w:r>
      <w:r w:rsidR="0070144E" w:rsidRPr="00B23DEB">
        <w:t>,</w:t>
      </w:r>
      <w:r w:rsidR="00E40F7C" w:rsidRPr="00B23DEB">
        <w:t xml:space="preserve"> together with the ri</w:t>
      </w:r>
      <w:r w:rsidR="00C7382B" w:rsidRPr="00B23DEB">
        <w:t>ght to exhumation (section </w:t>
      </w:r>
      <w:r w:rsidR="00E40F7C" w:rsidRPr="00B23DEB">
        <w:t>15</w:t>
      </w:r>
      <w:r w:rsidR="0070144E" w:rsidRPr="00B23DEB">
        <w:t>(</w:t>
      </w:r>
      <w:r w:rsidR="00E40F7C" w:rsidRPr="00B23DEB">
        <w:t>1</w:t>
      </w:r>
      <w:r w:rsidR="0070144E" w:rsidRPr="00B23DEB">
        <w:t>)</w:t>
      </w:r>
      <w:r w:rsidR="00E40F7C" w:rsidRPr="00B23DEB">
        <w:t xml:space="preserve">(1) of the same Act) and the right to respect for the memory of a deceased </w:t>
      </w:r>
      <w:r w:rsidR="00FF2052" w:rsidRPr="00B23DEB">
        <w:t>relative</w:t>
      </w:r>
      <w:r w:rsidR="0070144E" w:rsidRPr="00B23DEB">
        <w:t>,</w:t>
      </w:r>
      <w:r w:rsidR="00FF2052" w:rsidRPr="00B23DEB">
        <w:t xml:space="preserve"> </w:t>
      </w:r>
      <w:r w:rsidR="00E40F7C" w:rsidRPr="00B23DEB">
        <w:t>constituted a personal right</w:t>
      </w:r>
      <w:r w:rsidR="0070144E" w:rsidRPr="00B23DEB">
        <w:t>.</w:t>
      </w:r>
      <w:r w:rsidR="00E40F7C" w:rsidRPr="00B23DEB">
        <w:t xml:space="preserve"> </w:t>
      </w:r>
      <w:r w:rsidR="0070144E" w:rsidRPr="00B23DEB">
        <w:t xml:space="preserve">This was known as </w:t>
      </w:r>
      <w:r w:rsidR="00E40F7C" w:rsidRPr="00B23DEB">
        <w:t xml:space="preserve">the right to </w:t>
      </w:r>
      <w:r w:rsidR="0070144E" w:rsidRPr="00B23DEB">
        <w:t xml:space="preserve">a </w:t>
      </w:r>
      <w:r w:rsidR="00E40F7C" w:rsidRPr="00B23DEB">
        <w:t xml:space="preserve">grave and </w:t>
      </w:r>
      <w:r w:rsidR="0070144E" w:rsidRPr="00B23DEB">
        <w:t xml:space="preserve">was </w:t>
      </w:r>
      <w:r w:rsidR="00FF2052" w:rsidRPr="00B23DEB">
        <w:t>p</w:t>
      </w:r>
      <w:r w:rsidR="00E40F7C" w:rsidRPr="00B23DEB">
        <w:t>rotected by Articles 23 and 24 of the Civil Code.</w:t>
      </w:r>
    </w:p>
    <w:p w:rsidR="00181422" w:rsidRPr="00B23DEB" w:rsidRDefault="003E6A7C" w:rsidP="00B23DEB">
      <w:pPr>
        <w:pStyle w:val="ECHRPara"/>
      </w:pPr>
      <w:r w:rsidRPr="00B23DEB">
        <w:fldChar w:fldCharType="begin"/>
      </w:r>
      <w:r w:rsidRPr="00B23DEB">
        <w:instrText xml:space="preserve"> SEQ level0 \*arabic </w:instrText>
      </w:r>
      <w:r w:rsidRPr="00B23DEB">
        <w:fldChar w:fldCharType="separate"/>
      </w:r>
      <w:r w:rsidR="006549E3">
        <w:rPr>
          <w:noProof/>
        </w:rPr>
        <w:t>51</w:t>
      </w:r>
      <w:r w:rsidRPr="00B23DEB">
        <w:fldChar w:fldCharType="end"/>
      </w:r>
      <w:r w:rsidRPr="00B23DEB">
        <w:t xml:space="preserve">.  In its resolution of </w:t>
      </w:r>
      <w:r w:rsidR="00E40F7C" w:rsidRPr="00B23DEB">
        <w:t>29 June 2016 no. III CZP 24/16</w:t>
      </w:r>
      <w:r w:rsidRPr="00B23DEB">
        <w:t xml:space="preserve">, the </w:t>
      </w:r>
      <w:r w:rsidR="00E40F7C" w:rsidRPr="00B23DEB">
        <w:t xml:space="preserve">Supreme Court noted that respect for </w:t>
      </w:r>
      <w:r w:rsidR="0070144E" w:rsidRPr="00B23DEB">
        <w:t xml:space="preserve">the deceased </w:t>
      </w:r>
      <w:r w:rsidR="00E40F7C" w:rsidRPr="00B23DEB">
        <w:t xml:space="preserve">was an important element of European culture, as well as one of the foundations of the doctrine of the Catholic Church proclaiming that </w:t>
      </w:r>
      <w:r w:rsidR="00ED5620" w:rsidRPr="00B23DEB">
        <w:t>the</w:t>
      </w:r>
      <w:r w:rsidR="00E40F7C" w:rsidRPr="00B23DEB">
        <w:t xml:space="preserve"> body of a dead person should be treated with “respect and love”. For those reasons</w:t>
      </w:r>
      <w:r w:rsidR="00925E8E" w:rsidRPr="00B23DEB">
        <w:t>,</w:t>
      </w:r>
      <w:r w:rsidR="00E40F7C" w:rsidRPr="00B23DEB">
        <w:t xml:space="preserve"> the legal status of </w:t>
      </w:r>
      <w:r w:rsidR="00925E8E" w:rsidRPr="00B23DEB">
        <w:t xml:space="preserve">the </w:t>
      </w:r>
      <w:r w:rsidR="00E40F7C" w:rsidRPr="00B23DEB">
        <w:t>corpse was unique. There were no provisions setting out explicitly a duty to respect corpse</w:t>
      </w:r>
      <w:r w:rsidR="00925E8E" w:rsidRPr="00B23DEB">
        <w:t>s</w:t>
      </w:r>
      <w:r w:rsidR="00E40F7C" w:rsidRPr="00B23DEB">
        <w:t xml:space="preserve"> and human remains; however, it was universally accepted as an axiomatic moral duty, arising also from some legal norms. Those norms concerned</w:t>
      </w:r>
      <w:r w:rsidR="00ED5620" w:rsidRPr="00B23DEB">
        <w:t>,</w:t>
      </w:r>
      <w:r w:rsidR="00E40F7C" w:rsidRPr="00B23DEB">
        <w:t xml:space="preserve"> in particular</w:t>
      </w:r>
      <w:r w:rsidR="00ED5620" w:rsidRPr="00B23DEB">
        <w:t>,</w:t>
      </w:r>
      <w:r w:rsidR="00E40F7C" w:rsidRPr="00B23DEB">
        <w:t xml:space="preserve"> the provisions on protection of personal rights such as the right to respect for </w:t>
      </w:r>
      <w:r w:rsidR="00925E8E" w:rsidRPr="00B23DEB">
        <w:t xml:space="preserve">the </w:t>
      </w:r>
      <w:r w:rsidR="00E40F7C" w:rsidRPr="00B23DEB">
        <w:t>memory of a deceased person (</w:t>
      </w:r>
      <w:r w:rsidR="00181422" w:rsidRPr="00B23DEB">
        <w:rPr>
          <w:i/>
        </w:rPr>
        <w:t>kult osoby </w:t>
      </w:r>
      <w:r w:rsidR="00FF2052" w:rsidRPr="00B23DEB">
        <w:rPr>
          <w:i/>
        </w:rPr>
        <w:t>zmar</w:t>
      </w:r>
      <w:r w:rsidR="00FF2052" w:rsidRPr="00B23DEB">
        <w:rPr>
          <w:rFonts w:cstheme="minorHAnsi"/>
          <w:i/>
        </w:rPr>
        <w:t>ł</w:t>
      </w:r>
      <w:r w:rsidR="00E40F7C" w:rsidRPr="00B23DEB">
        <w:rPr>
          <w:i/>
        </w:rPr>
        <w:t>ej</w:t>
      </w:r>
      <w:r w:rsidR="00E40F7C" w:rsidRPr="00B23DEB">
        <w:t>) and the right to a grave (</w:t>
      </w:r>
      <w:r w:rsidR="00E40F7C" w:rsidRPr="00B23DEB">
        <w:rPr>
          <w:i/>
        </w:rPr>
        <w:t>prawo do grobu</w:t>
      </w:r>
      <w:r w:rsidR="00E40F7C" w:rsidRPr="00B23DEB">
        <w:t>), provisions of medical law and other</w:t>
      </w:r>
      <w:r w:rsidR="00FF2052" w:rsidRPr="00B23DEB">
        <w:t xml:space="preserve"> laws</w:t>
      </w:r>
      <w:r w:rsidR="00E40F7C" w:rsidRPr="00B23DEB">
        <w:t>. Those provisions</w:t>
      </w:r>
      <w:r w:rsidR="00ED5620" w:rsidRPr="00B23DEB">
        <w:t>,</w:t>
      </w:r>
      <w:r w:rsidR="00E40F7C" w:rsidRPr="00B23DEB">
        <w:t xml:space="preserve"> as well as their judicial interpretation</w:t>
      </w:r>
      <w:r w:rsidR="00ED5620" w:rsidRPr="00B23DEB">
        <w:t>,</w:t>
      </w:r>
      <w:r w:rsidR="00E40F7C" w:rsidRPr="00B23DEB">
        <w:t xml:space="preserve"> were permeated with respect for the dead, and allowed </w:t>
      </w:r>
      <w:r w:rsidR="00ED5620" w:rsidRPr="00B23DEB">
        <w:t xml:space="preserve">interference </w:t>
      </w:r>
      <w:r w:rsidR="00E40F7C" w:rsidRPr="00B23DEB">
        <w:t>with a corpse only in exceptional</w:t>
      </w:r>
      <w:r w:rsidR="00B61D60" w:rsidRPr="00B23DEB">
        <w:t xml:space="preserve"> circumstances</w:t>
      </w:r>
      <w:r w:rsidR="00E40F7C" w:rsidRPr="00B23DEB">
        <w:t>, clearly prescribed by statute.</w:t>
      </w:r>
    </w:p>
    <w:p w:rsidR="00181422" w:rsidRPr="00B23DEB" w:rsidRDefault="00AA73CC" w:rsidP="00B23DEB">
      <w:pPr>
        <w:pStyle w:val="ECHRPara"/>
      </w:pPr>
      <w:r w:rsidRPr="00B23DEB">
        <w:fldChar w:fldCharType="begin"/>
      </w:r>
      <w:r w:rsidRPr="00B23DEB">
        <w:instrText xml:space="preserve"> SEQ level0 \*arabic </w:instrText>
      </w:r>
      <w:r w:rsidRPr="00B23DEB">
        <w:fldChar w:fldCharType="separate"/>
      </w:r>
      <w:r w:rsidR="006549E3">
        <w:rPr>
          <w:noProof/>
        </w:rPr>
        <w:t>52</w:t>
      </w:r>
      <w:r w:rsidRPr="00B23DEB">
        <w:fldChar w:fldCharType="end"/>
      </w:r>
      <w:r w:rsidRPr="00B23DEB">
        <w:t>.  </w:t>
      </w:r>
      <w:r w:rsidR="00507F87" w:rsidRPr="00B23DEB">
        <w:t xml:space="preserve">The Supreme Court further noted that </w:t>
      </w:r>
      <w:r w:rsidR="00744885" w:rsidRPr="00B23DEB">
        <w:t xml:space="preserve">a court or a prosecutor could order </w:t>
      </w:r>
      <w:r w:rsidR="00B61D60" w:rsidRPr="00B23DEB">
        <w:t xml:space="preserve">the </w:t>
      </w:r>
      <w:r w:rsidR="00744885" w:rsidRPr="00B23DEB">
        <w:t xml:space="preserve">exhumation of a corpse or remains exclusively </w:t>
      </w:r>
      <w:r w:rsidR="00B61D60" w:rsidRPr="00B23DEB">
        <w:t>with</w:t>
      </w:r>
      <w:r w:rsidR="00744885" w:rsidRPr="00B23DEB">
        <w:t xml:space="preserve">in the framework of </w:t>
      </w:r>
      <w:r w:rsidR="00D76C03" w:rsidRPr="00B23DEB">
        <w:t xml:space="preserve">pending </w:t>
      </w:r>
      <w:r w:rsidR="00744885" w:rsidRPr="00B23DEB">
        <w:t xml:space="preserve">proceedings – civil or criminal – on the basis of their investigatory or jurisdictional powers, </w:t>
      </w:r>
      <w:r w:rsidR="00ED5620" w:rsidRPr="00B23DEB">
        <w:t xml:space="preserve">where this was </w:t>
      </w:r>
      <w:r w:rsidR="00285541" w:rsidRPr="00B23DEB">
        <w:t xml:space="preserve">supported </w:t>
      </w:r>
      <w:r w:rsidR="008D1632" w:rsidRPr="00B23DEB">
        <w:t xml:space="preserve">by </w:t>
      </w:r>
      <w:r w:rsidR="00ED5620" w:rsidRPr="00B23DEB">
        <w:t xml:space="preserve">significant </w:t>
      </w:r>
      <w:r w:rsidR="008D1632" w:rsidRPr="00B23DEB">
        <w:t xml:space="preserve">public interest, </w:t>
      </w:r>
      <w:r w:rsidR="00F203D6" w:rsidRPr="00B23DEB">
        <w:t>stemming</w:t>
      </w:r>
      <w:r w:rsidR="008D1632" w:rsidRPr="00B23DEB">
        <w:t xml:space="preserve"> from Article 292 and seq. of the Code of Civil Procedure and Article 209 and seq. of the Code of Criminal Procedure.</w:t>
      </w:r>
    </w:p>
    <w:p w:rsidR="00C64785" w:rsidRPr="00B23DEB" w:rsidRDefault="00642C37" w:rsidP="00B23DEB">
      <w:pPr>
        <w:pStyle w:val="ECHRTitle1"/>
      </w:pPr>
      <w:r w:rsidRPr="00B23DEB">
        <w:t>THE LAW</w:t>
      </w:r>
    </w:p>
    <w:p w:rsidR="00181422" w:rsidRPr="00B23DEB" w:rsidRDefault="00AA0130" w:rsidP="00B23DEB">
      <w:pPr>
        <w:pStyle w:val="ECHRHeading1"/>
      </w:pPr>
      <w:r w:rsidRPr="00B23DEB">
        <w:t>I.  JOINDER OF THE APPLICATIONS</w:t>
      </w:r>
    </w:p>
    <w:p w:rsidR="00AA0130" w:rsidRPr="00B23DEB" w:rsidRDefault="00E55822" w:rsidP="00B23DEB">
      <w:pPr>
        <w:pStyle w:val="ECHRPara"/>
      </w:pPr>
      <w:r w:rsidRPr="00B23DEB">
        <w:fldChar w:fldCharType="begin"/>
      </w:r>
      <w:r w:rsidRPr="00B23DEB">
        <w:instrText xml:space="preserve"> SEQ level0 \*arabic </w:instrText>
      </w:r>
      <w:r w:rsidRPr="00B23DEB">
        <w:fldChar w:fldCharType="separate"/>
      </w:r>
      <w:r w:rsidR="006549E3">
        <w:rPr>
          <w:noProof/>
        </w:rPr>
        <w:t>53</w:t>
      </w:r>
      <w:r w:rsidRPr="00B23DEB">
        <w:rPr>
          <w:noProof/>
        </w:rPr>
        <w:fldChar w:fldCharType="end"/>
      </w:r>
      <w:r w:rsidR="00AA0130" w:rsidRPr="00B23DEB">
        <w:t>.  Given their similar factual and legal background, the Court decides that the two applications should be joined</w:t>
      </w:r>
      <w:r w:rsidR="00ED5620" w:rsidRPr="00B23DEB">
        <w:t>,</w:t>
      </w:r>
      <w:r w:rsidR="00AA0130" w:rsidRPr="00B23DEB">
        <w:t xml:space="preserve"> pursuant to Rule 42 § 1 of the Rules of Court.</w:t>
      </w:r>
    </w:p>
    <w:p w:rsidR="00C64785" w:rsidRPr="00B23DEB" w:rsidRDefault="00AA0130" w:rsidP="00B23DEB">
      <w:pPr>
        <w:pStyle w:val="ECHRHeading1"/>
      </w:pPr>
      <w:r w:rsidRPr="00B23DEB">
        <w:t>I</w:t>
      </w:r>
      <w:r w:rsidR="00642C37" w:rsidRPr="00B23DEB">
        <w:t xml:space="preserve">I.  ALLEGED VIOLATION OF ARTICLE </w:t>
      </w:r>
      <w:r w:rsidR="00503D98" w:rsidRPr="00B23DEB">
        <w:t>8</w:t>
      </w:r>
      <w:r w:rsidR="00642C37" w:rsidRPr="00B23DEB">
        <w:t xml:space="preserve"> OF THE CONVENTION</w:t>
      </w:r>
    </w:p>
    <w:p w:rsidR="001020DA" w:rsidRPr="00B23DEB" w:rsidRDefault="00E941D8" w:rsidP="00B23DEB">
      <w:pPr>
        <w:pStyle w:val="ECHRPara"/>
      </w:pPr>
      <w:r w:rsidRPr="00B23DEB">
        <w:fldChar w:fldCharType="begin"/>
      </w:r>
      <w:r w:rsidRPr="00B23DEB">
        <w:instrText xml:space="preserve"> SEQ level0 \*arabic </w:instrText>
      </w:r>
      <w:r w:rsidRPr="00B23DEB">
        <w:fldChar w:fldCharType="separate"/>
      </w:r>
      <w:r w:rsidR="006549E3">
        <w:rPr>
          <w:noProof/>
        </w:rPr>
        <w:t>54</w:t>
      </w:r>
      <w:r w:rsidRPr="00B23DEB">
        <w:fldChar w:fldCharType="end"/>
      </w:r>
      <w:r w:rsidR="00642C37" w:rsidRPr="00B23DEB">
        <w:t>.  The applicant</w:t>
      </w:r>
      <w:r w:rsidRPr="00B23DEB">
        <w:t>s</w:t>
      </w:r>
      <w:r w:rsidR="00642C37" w:rsidRPr="00B23DEB">
        <w:t xml:space="preserve"> complained</w:t>
      </w:r>
      <w:r w:rsidR="002177DF" w:rsidRPr="00B23DEB">
        <w:t xml:space="preserve"> </w:t>
      </w:r>
      <w:r w:rsidR="00B4685B" w:rsidRPr="00B23DEB">
        <w:t xml:space="preserve">that </w:t>
      </w:r>
      <w:r w:rsidR="00F554C2" w:rsidRPr="00B23DEB">
        <w:t xml:space="preserve">the </w:t>
      </w:r>
      <w:r w:rsidR="00B4685B" w:rsidRPr="00B23DEB">
        <w:t xml:space="preserve">exhumation of </w:t>
      </w:r>
      <w:r w:rsidR="002177DF" w:rsidRPr="00B23DEB">
        <w:t>their husbands</w:t>
      </w:r>
      <w:r w:rsidR="00B23DEB" w:rsidRPr="00B23DEB">
        <w:t>’</w:t>
      </w:r>
      <w:r w:rsidR="002177DF" w:rsidRPr="00B23DEB">
        <w:t xml:space="preserve"> remains without their consent </w:t>
      </w:r>
      <w:r w:rsidR="00F12D4A" w:rsidRPr="00B23DEB">
        <w:t xml:space="preserve">and in the absence of </w:t>
      </w:r>
      <w:r w:rsidR="00314A9B" w:rsidRPr="00B23DEB">
        <w:t xml:space="preserve">a </w:t>
      </w:r>
      <w:r w:rsidR="00F12D4A" w:rsidRPr="00B23DEB">
        <w:t>review of the prosecutor</w:t>
      </w:r>
      <w:r w:rsidR="00B23DEB" w:rsidRPr="00B23DEB">
        <w:t>’</w:t>
      </w:r>
      <w:r w:rsidR="00F12D4A" w:rsidRPr="00B23DEB">
        <w:t xml:space="preserve">s decision </w:t>
      </w:r>
      <w:r w:rsidR="004A614C" w:rsidRPr="00B23DEB">
        <w:t xml:space="preserve">had </w:t>
      </w:r>
      <w:r w:rsidR="002177DF" w:rsidRPr="00B23DEB">
        <w:t>constitute</w:t>
      </w:r>
      <w:r w:rsidR="004A614C" w:rsidRPr="00B23DEB">
        <w:t>d</w:t>
      </w:r>
      <w:r w:rsidR="002177DF" w:rsidRPr="00B23DEB">
        <w:t xml:space="preserve"> an arbitrary interference with their rights under Article 8 of the Convention. </w:t>
      </w:r>
      <w:r w:rsidR="00FF2052" w:rsidRPr="00B23DEB">
        <w:t xml:space="preserve">Article </w:t>
      </w:r>
      <w:r w:rsidR="001020DA" w:rsidRPr="00B23DEB">
        <w:t xml:space="preserve">8 </w:t>
      </w:r>
      <w:r w:rsidR="0028005F" w:rsidRPr="00B23DEB">
        <w:t>reads, in so far as relevant:</w:t>
      </w:r>
    </w:p>
    <w:p w:rsidR="008F469D" w:rsidRPr="00B23DEB" w:rsidRDefault="008F469D" w:rsidP="00B23DEB">
      <w:pPr>
        <w:pStyle w:val="ECHRParaQuote"/>
      </w:pPr>
      <w:r w:rsidRPr="00B23DEB">
        <w:t>“1. Everyone has the right to respect for his private and family life ...</w:t>
      </w:r>
    </w:p>
    <w:p w:rsidR="008F469D" w:rsidRPr="00B23DEB" w:rsidRDefault="008F469D" w:rsidP="00B23DEB">
      <w:pPr>
        <w:pStyle w:val="ECHRParaQuote"/>
      </w:pPr>
      <w:r w:rsidRPr="00B23DEB">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C64785" w:rsidRPr="00B23DEB" w:rsidRDefault="00642C37" w:rsidP="00B23DEB">
      <w:pPr>
        <w:pStyle w:val="ECHRHeading2"/>
      </w:pPr>
      <w:r w:rsidRPr="00B23DEB">
        <w:t>A.  Admissibility</w:t>
      </w:r>
    </w:p>
    <w:p w:rsidR="00181422" w:rsidRPr="00B23DEB" w:rsidRDefault="00C7382B" w:rsidP="00B23DEB">
      <w:pPr>
        <w:pStyle w:val="ECHRHeading3"/>
      </w:pPr>
      <w:r w:rsidRPr="00B23DEB">
        <w:t>1.  </w:t>
      </w:r>
      <w:r w:rsidR="007A7A22" w:rsidRPr="00B23DEB">
        <w:t>The Government</w:t>
      </w:r>
      <w:r w:rsidR="00B23DEB" w:rsidRPr="00B23DEB">
        <w:t>’</w:t>
      </w:r>
      <w:r w:rsidR="007A7A22" w:rsidRPr="00B23DEB">
        <w:t>s submissions</w:t>
      </w:r>
    </w:p>
    <w:p w:rsidR="00181422" w:rsidRPr="00B23DEB" w:rsidRDefault="0028005F" w:rsidP="00B23DEB">
      <w:pPr>
        <w:pStyle w:val="ECHRPara"/>
      </w:pPr>
      <w:r w:rsidRPr="00B23DEB">
        <w:fldChar w:fldCharType="begin"/>
      </w:r>
      <w:r w:rsidRPr="00B23DEB">
        <w:instrText xml:space="preserve"> SEQ level0 \*arabic </w:instrText>
      </w:r>
      <w:r w:rsidRPr="00B23DEB">
        <w:fldChar w:fldCharType="separate"/>
      </w:r>
      <w:r w:rsidR="006549E3">
        <w:rPr>
          <w:noProof/>
        </w:rPr>
        <w:t>55</w:t>
      </w:r>
      <w:r w:rsidRPr="00B23DEB">
        <w:fldChar w:fldCharType="end"/>
      </w:r>
      <w:r w:rsidR="00542D8E" w:rsidRPr="00B23DEB">
        <w:t xml:space="preserve">.  The Government raised a preliminary objection of non-exhaustion of domestic remedies. </w:t>
      </w:r>
      <w:r w:rsidR="00285651" w:rsidRPr="00B23DEB">
        <w:t>In their view, the lodging of the present applications ha</w:t>
      </w:r>
      <w:r w:rsidR="004A614C" w:rsidRPr="00B23DEB">
        <w:t>d</w:t>
      </w:r>
      <w:r w:rsidR="00285651" w:rsidRPr="00B23DEB">
        <w:t xml:space="preserve"> been premature</w:t>
      </w:r>
      <w:r w:rsidR="00314A9B" w:rsidRPr="00B23DEB">
        <w:t>,</w:t>
      </w:r>
      <w:r w:rsidR="00285651" w:rsidRPr="00B23DEB">
        <w:t xml:space="preserve"> since </w:t>
      </w:r>
      <w:r w:rsidR="00542D8E" w:rsidRPr="00B23DEB">
        <w:t xml:space="preserve">the proceedings before the domestic court </w:t>
      </w:r>
      <w:r w:rsidR="00314A9B" w:rsidRPr="00B23DEB">
        <w:t xml:space="preserve">had </w:t>
      </w:r>
      <w:r w:rsidR="00920F0A" w:rsidRPr="00B23DEB">
        <w:t xml:space="preserve">been </w:t>
      </w:r>
      <w:r w:rsidR="00542D8E" w:rsidRPr="00B23DEB">
        <w:t xml:space="preserve">suspended pending </w:t>
      </w:r>
      <w:r w:rsidR="00314A9B" w:rsidRPr="00B23DEB">
        <w:t xml:space="preserve">a decision by the </w:t>
      </w:r>
      <w:r w:rsidR="00542D8E" w:rsidRPr="00B23DEB">
        <w:t>Constitutional Court</w:t>
      </w:r>
      <w:r w:rsidR="00920F0A" w:rsidRPr="00B23DEB">
        <w:t xml:space="preserve"> </w:t>
      </w:r>
      <w:r w:rsidR="00542D8E" w:rsidRPr="00B23DEB">
        <w:t xml:space="preserve">on the legal question referred </w:t>
      </w:r>
      <w:r w:rsidR="00314A9B" w:rsidRPr="00B23DEB">
        <w:t xml:space="preserve">to it </w:t>
      </w:r>
      <w:r w:rsidR="00542D8E" w:rsidRPr="00B23DEB">
        <w:t xml:space="preserve">by the Warsaw Regional Court on </w:t>
      </w:r>
      <w:r w:rsidR="00920F0A" w:rsidRPr="00B23DEB">
        <w:t>3</w:t>
      </w:r>
      <w:r w:rsidR="00542D8E" w:rsidRPr="00B23DEB">
        <w:t xml:space="preserve"> April 2017.</w:t>
      </w:r>
    </w:p>
    <w:p w:rsidR="00181422" w:rsidRPr="00B23DEB" w:rsidRDefault="001A22BD" w:rsidP="00B23DEB">
      <w:pPr>
        <w:pStyle w:val="ECHRPara"/>
      </w:pPr>
      <w:r w:rsidRPr="00B23DEB">
        <w:fldChar w:fldCharType="begin"/>
      </w:r>
      <w:r w:rsidRPr="00B23DEB">
        <w:instrText xml:space="preserve"> SEQ level0 \*arabic </w:instrText>
      </w:r>
      <w:r w:rsidRPr="00B23DEB">
        <w:fldChar w:fldCharType="separate"/>
      </w:r>
      <w:r w:rsidR="006549E3">
        <w:rPr>
          <w:noProof/>
        </w:rPr>
        <w:t>56</w:t>
      </w:r>
      <w:r w:rsidRPr="00B23DEB">
        <w:fldChar w:fldCharType="end"/>
      </w:r>
      <w:r w:rsidRPr="00B23DEB">
        <w:t>.  </w:t>
      </w:r>
      <w:r w:rsidR="00764B82" w:rsidRPr="00B23DEB">
        <w:t xml:space="preserve">The Government </w:t>
      </w:r>
      <w:r w:rsidR="00E54279" w:rsidRPr="00B23DEB">
        <w:t>submitted that the Warsaw Regional Court, adjudicating on the applicants</w:t>
      </w:r>
      <w:r w:rsidR="00B23DEB" w:rsidRPr="00B23DEB">
        <w:t>’</w:t>
      </w:r>
      <w:r w:rsidR="00E54279" w:rsidRPr="00B23DEB">
        <w:t xml:space="preserve"> interlocutory appeals, had rightly decided to refer </w:t>
      </w:r>
      <w:r w:rsidR="00314A9B" w:rsidRPr="00B23DEB">
        <w:t xml:space="preserve">the </w:t>
      </w:r>
      <w:r w:rsidR="00E54279" w:rsidRPr="00B23DEB">
        <w:t xml:space="preserve">legal question to the Constitutional Court, which was the only </w:t>
      </w:r>
      <w:r w:rsidR="00EF5A40" w:rsidRPr="00B23DEB">
        <w:t xml:space="preserve">body </w:t>
      </w:r>
      <w:r w:rsidR="00E54279" w:rsidRPr="00B23DEB">
        <w:t xml:space="preserve">competent to assess the constitutionality of the legal provisions applicable to a particular case. </w:t>
      </w:r>
      <w:r w:rsidRPr="00B23DEB">
        <w:t>According to academic opinion and domestic</w:t>
      </w:r>
      <w:r w:rsidR="00314A9B" w:rsidRPr="00B23DEB">
        <w:t xml:space="preserve"> case-law</w:t>
      </w:r>
      <w:r w:rsidRPr="00B23DEB">
        <w:t xml:space="preserve">, the Constitution clearly </w:t>
      </w:r>
      <w:r w:rsidR="00314A9B" w:rsidRPr="00B23DEB">
        <w:t xml:space="preserve">gave </w:t>
      </w:r>
      <w:r w:rsidRPr="00B23DEB">
        <w:t>the C</w:t>
      </w:r>
      <w:r w:rsidR="001D34AE" w:rsidRPr="00B23DEB">
        <w:t xml:space="preserve">onstitutional Court </w:t>
      </w:r>
      <w:r w:rsidRPr="00B23DEB">
        <w:t>exclusive competence to adjudicate on the constitutionality of statutes.</w:t>
      </w:r>
    </w:p>
    <w:p w:rsidR="00181422" w:rsidRPr="00B23DEB" w:rsidRDefault="00795BE0" w:rsidP="00B23DEB">
      <w:pPr>
        <w:pStyle w:val="ECHRPara"/>
      </w:pPr>
      <w:r w:rsidRPr="00B23DEB">
        <w:fldChar w:fldCharType="begin"/>
      </w:r>
      <w:r w:rsidRPr="00B23DEB">
        <w:instrText xml:space="preserve"> SEQ level0 \*arabic </w:instrText>
      </w:r>
      <w:r w:rsidRPr="00B23DEB">
        <w:fldChar w:fldCharType="separate"/>
      </w:r>
      <w:r w:rsidR="006549E3">
        <w:rPr>
          <w:noProof/>
        </w:rPr>
        <w:t>57</w:t>
      </w:r>
      <w:r w:rsidRPr="00B23DEB">
        <w:fldChar w:fldCharType="end"/>
      </w:r>
      <w:r w:rsidRPr="00B23DEB">
        <w:t xml:space="preserve">.  The domestic court – having identified some doubt as to the </w:t>
      </w:r>
      <w:r w:rsidR="001A22BD" w:rsidRPr="00B23DEB">
        <w:t xml:space="preserve">conformity of </w:t>
      </w:r>
      <w:r w:rsidRPr="00B23DEB">
        <w:t xml:space="preserve">Article 210 of the CCP </w:t>
      </w:r>
      <w:r w:rsidR="001A22BD" w:rsidRPr="00B23DEB">
        <w:t xml:space="preserve">with the Constitution and the Convention </w:t>
      </w:r>
      <w:r w:rsidRPr="00B23DEB">
        <w:t xml:space="preserve">– had </w:t>
      </w:r>
      <w:r w:rsidR="00314A9B" w:rsidRPr="00B23DEB">
        <w:t xml:space="preserve">had </w:t>
      </w:r>
      <w:r w:rsidRPr="00B23DEB">
        <w:t>no alternative but to</w:t>
      </w:r>
      <w:r w:rsidR="00116073" w:rsidRPr="00B23DEB">
        <w:t xml:space="preserve"> act in accordance with Article </w:t>
      </w:r>
      <w:r w:rsidRPr="00B23DEB">
        <w:t xml:space="preserve">193 of the Constitution and refer </w:t>
      </w:r>
      <w:r w:rsidR="00314A9B" w:rsidRPr="00B23DEB">
        <w:t xml:space="preserve">the </w:t>
      </w:r>
      <w:r w:rsidRPr="00B23DEB">
        <w:t xml:space="preserve">legal question to the Constitutional Court. This </w:t>
      </w:r>
      <w:r w:rsidR="00F247E3" w:rsidRPr="00B23DEB">
        <w:t xml:space="preserve">appeared to be </w:t>
      </w:r>
      <w:r w:rsidRPr="00B23DEB">
        <w:t xml:space="preserve">the only way </w:t>
      </w:r>
      <w:r w:rsidR="00314A9B" w:rsidRPr="00B23DEB">
        <w:t xml:space="preserve">in which </w:t>
      </w:r>
      <w:r w:rsidRPr="00B23DEB">
        <w:t xml:space="preserve">to address the complaints </w:t>
      </w:r>
      <w:r w:rsidR="00A54468" w:rsidRPr="00B23DEB">
        <w:t xml:space="preserve">raised </w:t>
      </w:r>
      <w:r w:rsidRPr="00B23DEB">
        <w:t xml:space="preserve">by the applicants </w:t>
      </w:r>
      <w:r w:rsidR="00A54468" w:rsidRPr="00B23DEB">
        <w:t>in their interlocutory appeals</w:t>
      </w:r>
      <w:r w:rsidR="0039660B" w:rsidRPr="00B23DEB">
        <w:t>, including claims of a</w:t>
      </w:r>
      <w:r w:rsidR="00181422" w:rsidRPr="00B23DEB">
        <w:t> </w:t>
      </w:r>
      <w:r w:rsidR="0039660B" w:rsidRPr="00B23DEB">
        <w:t>violation of the Constitution</w:t>
      </w:r>
      <w:r w:rsidR="00A54468" w:rsidRPr="00B23DEB">
        <w:t xml:space="preserve">. </w:t>
      </w:r>
      <w:r w:rsidR="00E01DB6" w:rsidRPr="00B23DEB">
        <w:t>Such a course of events could therefore have been reasonably expected by the applicants</w:t>
      </w:r>
      <w:r w:rsidR="0039660B" w:rsidRPr="00B23DEB">
        <w:t xml:space="preserve">, or should </w:t>
      </w:r>
      <w:r w:rsidR="00A56DC6" w:rsidRPr="00B23DEB">
        <w:t xml:space="preserve">have </w:t>
      </w:r>
      <w:r w:rsidR="0039660B" w:rsidRPr="00B23DEB">
        <w:t>at least</w:t>
      </w:r>
      <w:r w:rsidR="00A56DC6" w:rsidRPr="00B23DEB">
        <w:t xml:space="preserve"> been </w:t>
      </w:r>
      <w:r w:rsidR="0039660B" w:rsidRPr="00B23DEB">
        <w:t>entertained by them,</w:t>
      </w:r>
      <w:r w:rsidR="00E01DB6" w:rsidRPr="00B23DEB">
        <w:t xml:space="preserve"> as they themselves </w:t>
      </w:r>
      <w:r w:rsidR="00314A9B" w:rsidRPr="00B23DEB">
        <w:t xml:space="preserve">had </w:t>
      </w:r>
      <w:r w:rsidR="00E01DB6" w:rsidRPr="00B23DEB">
        <w:t xml:space="preserve">prompted the review of the constitutionality of the impugned provision of the CCP. </w:t>
      </w:r>
      <w:r w:rsidR="00454AE8" w:rsidRPr="00B23DEB">
        <w:t>Had the applicants allowed the domestic system to proceed and waited to obtain the Constitutional Court</w:t>
      </w:r>
      <w:r w:rsidR="00B23DEB" w:rsidRPr="00B23DEB">
        <w:t>’</w:t>
      </w:r>
      <w:r w:rsidR="00454AE8" w:rsidRPr="00B23DEB">
        <w:t xml:space="preserve">s decision, it could not be precluded that their allegations would have been </w:t>
      </w:r>
      <w:r w:rsidR="00A56DC6" w:rsidRPr="00B23DEB">
        <w:t xml:space="preserve">accepted </w:t>
      </w:r>
      <w:r w:rsidR="00454AE8" w:rsidRPr="00B23DEB">
        <w:t xml:space="preserve">and they would have obtained appropriate redress. Instead, immediately after the Warsaw Regional Court had referred </w:t>
      </w:r>
      <w:r w:rsidR="00314A9B" w:rsidRPr="00B23DEB">
        <w:t>the</w:t>
      </w:r>
      <w:r w:rsidR="00454AE8" w:rsidRPr="00B23DEB">
        <w:t xml:space="preserve"> legal question, the applicants </w:t>
      </w:r>
      <w:r w:rsidR="00C65816" w:rsidRPr="00B23DEB">
        <w:t xml:space="preserve">had </w:t>
      </w:r>
      <w:r w:rsidR="00454AE8" w:rsidRPr="00B23DEB">
        <w:t>lodged the present applications.</w:t>
      </w:r>
    </w:p>
    <w:p w:rsidR="00181422" w:rsidRPr="00B23DEB" w:rsidRDefault="001A22BD" w:rsidP="00B23DEB">
      <w:pPr>
        <w:pStyle w:val="ECHRPara"/>
      </w:pPr>
      <w:r w:rsidRPr="00B23DEB">
        <w:fldChar w:fldCharType="begin"/>
      </w:r>
      <w:r w:rsidRPr="00B23DEB">
        <w:instrText xml:space="preserve"> SEQ level0 \*arabic </w:instrText>
      </w:r>
      <w:r w:rsidRPr="00B23DEB">
        <w:fldChar w:fldCharType="separate"/>
      </w:r>
      <w:r w:rsidR="006549E3">
        <w:rPr>
          <w:noProof/>
        </w:rPr>
        <w:t>58</w:t>
      </w:r>
      <w:r w:rsidRPr="00B23DEB">
        <w:fldChar w:fldCharType="end"/>
      </w:r>
      <w:r w:rsidRPr="00B23DEB">
        <w:t>.  </w:t>
      </w:r>
      <w:r w:rsidR="003D6C8A" w:rsidRPr="00B23DEB">
        <w:t>With regard to the applicants</w:t>
      </w:r>
      <w:r w:rsidR="00B23DEB" w:rsidRPr="00B23DEB">
        <w:t>’</w:t>
      </w:r>
      <w:r w:rsidR="003D6C8A" w:rsidRPr="00B23DEB">
        <w:t xml:space="preserve"> argument that the </w:t>
      </w:r>
      <w:r w:rsidR="0083658C" w:rsidRPr="00B23DEB">
        <w:t xml:space="preserve">Regional Court should have directly applied the </w:t>
      </w:r>
      <w:r w:rsidR="00314A9B" w:rsidRPr="00B23DEB">
        <w:t xml:space="preserve">relevant provisions of the </w:t>
      </w:r>
      <w:r w:rsidR="0083658C" w:rsidRPr="00B23DEB">
        <w:t>Constitution, the Government</w:t>
      </w:r>
      <w:r w:rsidRPr="00B23DEB">
        <w:t xml:space="preserve"> submitted that </w:t>
      </w:r>
      <w:r w:rsidR="00143397" w:rsidRPr="00B23DEB">
        <w:t xml:space="preserve">such a possibility could </w:t>
      </w:r>
      <w:r w:rsidRPr="00B23DEB">
        <w:t xml:space="preserve">only </w:t>
      </w:r>
      <w:r w:rsidR="00143397" w:rsidRPr="00B23DEB">
        <w:t>be entertained when the C</w:t>
      </w:r>
      <w:r w:rsidR="001D34AE" w:rsidRPr="00B23DEB">
        <w:t xml:space="preserve">onstitutional Court </w:t>
      </w:r>
      <w:r w:rsidR="00143397" w:rsidRPr="00B23DEB">
        <w:t>had declared unconstitutional the statutory legal basis for a decision.</w:t>
      </w:r>
    </w:p>
    <w:p w:rsidR="00181422" w:rsidRPr="00B23DEB" w:rsidRDefault="00A56DC6" w:rsidP="00B23DEB">
      <w:pPr>
        <w:pStyle w:val="ECHRPara"/>
      </w:pPr>
      <w:r w:rsidRPr="00B23DEB">
        <w:fldChar w:fldCharType="begin"/>
      </w:r>
      <w:r w:rsidRPr="00B23DEB">
        <w:instrText xml:space="preserve"> SEQ level0 \*arabic </w:instrText>
      </w:r>
      <w:r w:rsidRPr="00B23DEB">
        <w:fldChar w:fldCharType="separate"/>
      </w:r>
      <w:r w:rsidR="006549E3">
        <w:rPr>
          <w:noProof/>
        </w:rPr>
        <w:t>59</w:t>
      </w:r>
      <w:r w:rsidRPr="00B23DEB">
        <w:fldChar w:fldCharType="end"/>
      </w:r>
      <w:r w:rsidRPr="00B23DEB">
        <w:t>.  </w:t>
      </w:r>
      <w:r w:rsidR="006B35C2" w:rsidRPr="00B23DEB">
        <w:t>With re</w:t>
      </w:r>
      <w:r w:rsidR="00630400" w:rsidRPr="00B23DEB">
        <w:t>gard to the applicants</w:t>
      </w:r>
      <w:r w:rsidR="00B23DEB" w:rsidRPr="00B23DEB">
        <w:t>’</w:t>
      </w:r>
      <w:r w:rsidR="00630400" w:rsidRPr="00B23DEB">
        <w:t xml:space="preserve"> claims </w:t>
      </w:r>
      <w:r w:rsidR="00314A9B" w:rsidRPr="00B23DEB">
        <w:t xml:space="preserve">that </w:t>
      </w:r>
      <w:r w:rsidR="007A401E" w:rsidRPr="00B23DEB">
        <w:t>the C</w:t>
      </w:r>
      <w:r w:rsidR="001D34AE" w:rsidRPr="00B23DEB">
        <w:t>onstitutional Court</w:t>
      </w:r>
      <w:r w:rsidR="00314A9B" w:rsidRPr="00B23DEB">
        <w:t xml:space="preserve"> was ineffective</w:t>
      </w:r>
      <w:r w:rsidR="007A401E" w:rsidRPr="00B23DEB">
        <w:t>, the Government viewed them as widely exceeding the limits of the present case</w:t>
      </w:r>
      <w:r w:rsidR="00F247E3" w:rsidRPr="00B23DEB">
        <w:t xml:space="preserve"> and </w:t>
      </w:r>
      <w:r w:rsidR="007A401E" w:rsidRPr="00B23DEB">
        <w:t xml:space="preserve">unwarranted. </w:t>
      </w:r>
      <w:r w:rsidR="002404A8" w:rsidRPr="00B23DEB">
        <w:t xml:space="preserve">There was no basis to </w:t>
      </w:r>
      <w:r w:rsidRPr="00B23DEB">
        <w:t xml:space="preserve">assert </w:t>
      </w:r>
      <w:r w:rsidR="002404A8" w:rsidRPr="00B23DEB">
        <w:t xml:space="preserve">that the </w:t>
      </w:r>
      <w:r w:rsidR="001D34AE" w:rsidRPr="00B23DEB">
        <w:t>Constitutional Court</w:t>
      </w:r>
      <w:r w:rsidR="002404A8" w:rsidRPr="00B23DEB">
        <w:t xml:space="preserve"> in </w:t>
      </w:r>
      <w:r w:rsidR="00314A9B" w:rsidRPr="00B23DEB">
        <w:t xml:space="preserve">its </w:t>
      </w:r>
      <w:r w:rsidR="002404A8" w:rsidRPr="00B23DEB">
        <w:t xml:space="preserve">present state was unable to duly </w:t>
      </w:r>
      <w:r w:rsidR="00C65816" w:rsidRPr="00B23DEB">
        <w:t xml:space="preserve">perform </w:t>
      </w:r>
      <w:r w:rsidR="002404A8" w:rsidRPr="00B23DEB">
        <w:t xml:space="preserve">its duties. The legislative action undertaken by the Sejm </w:t>
      </w:r>
      <w:r w:rsidR="00F247E3" w:rsidRPr="00B23DEB">
        <w:t>(the l</w:t>
      </w:r>
      <w:r w:rsidR="001A22BD" w:rsidRPr="00B23DEB">
        <w:t xml:space="preserve">ower House of Parliament) </w:t>
      </w:r>
      <w:r w:rsidR="002404A8" w:rsidRPr="00B23DEB">
        <w:t xml:space="preserve">in 2015 and 2016 </w:t>
      </w:r>
      <w:r w:rsidR="00E46B17" w:rsidRPr="00B23DEB">
        <w:t xml:space="preserve">had been </w:t>
      </w:r>
      <w:r w:rsidR="002404A8" w:rsidRPr="00B23DEB">
        <w:t>aimed specifically at improving the C</w:t>
      </w:r>
      <w:r w:rsidR="001D34AE" w:rsidRPr="00B23DEB">
        <w:t>onstitutional Court</w:t>
      </w:r>
      <w:r w:rsidR="00B23DEB" w:rsidRPr="00B23DEB">
        <w:t>’</w:t>
      </w:r>
      <w:r w:rsidR="002404A8" w:rsidRPr="00B23DEB">
        <w:t xml:space="preserve">s functioning. </w:t>
      </w:r>
      <w:r w:rsidR="00130B06" w:rsidRPr="00B23DEB">
        <w:t xml:space="preserve">The </w:t>
      </w:r>
      <w:r w:rsidR="001D34AE" w:rsidRPr="00B23DEB">
        <w:t>Constitutional Court</w:t>
      </w:r>
      <w:r w:rsidR="00B23DEB" w:rsidRPr="00B23DEB">
        <w:t>’</w:t>
      </w:r>
      <w:r w:rsidR="001D34AE" w:rsidRPr="00B23DEB">
        <w:t>s ju</w:t>
      </w:r>
      <w:r w:rsidR="00130B06" w:rsidRPr="00B23DEB">
        <w:t>dges enjoy</w:t>
      </w:r>
      <w:r w:rsidR="001D34AE" w:rsidRPr="00B23DEB">
        <w:t>ed</w:t>
      </w:r>
      <w:r w:rsidR="00130B06" w:rsidRPr="00B23DEB">
        <w:t xml:space="preserve"> full independence in adjudicating all matters brought before that court.</w:t>
      </w:r>
      <w:r w:rsidRPr="00B23DEB">
        <w:t xml:space="preserve"> T</w:t>
      </w:r>
      <w:r w:rsidR="0074142F" w:rsidRPr="00B23DEB">
        <w:t>he majority of the applicant</w:t>
      </w:r>
      <w:r w:rsidRPr="00B23DEB">
        <w:t>s</w:t>
      </w:r>
      <w:r w:rsidR="00B23DEB" w:rsidRPr="00B23DEB">
        <w:t>’</w:t>
      </w:r>
      <w:r w:rsidRPr="00B23DEB">
        <w:t xml:space="preserve"> arguments </w:t>
      </w:r>
      <w:r w:rsidR="0074142F" w:rsidRPr="00B23DEB">
        <w:t xml:space="preserve">were of </w:t>
      </w:r>
      <w:r w:rsidR="00E46B17" w:rsidRPr="00B23DEB">
        <w:t xml:space="preserve">a </w:t>
      </w:r>
      <w:r w:rsidR="0074142F" w:rsidRPr="00B23DEB">
        <w:t xml:space="preserve">political nature and </w:t>
      </w:r>
      <w:r w:rsidR="00ED5620" w:rsidRPr="00B23DEB">
        <w:t xml:space="preserve">were </w:t>
      </w:r>
      <w:r w:rsidR="0074142F" w:rsidRPr="00B23DEB">
        <w:t>aimed at discrediting the C</w:t>
      </w:r>
      <w:r w:rsidR="001D34AE" w:rsidRPr="00B23DEB">
        <w:t xml:space="preserve">onstitutional Court </w:t>
      </w:r>
      <w:r w:rsidR="0074142F" w:rsidRPr="00B23DEB">
        <w:t>as a judicial institution. The Gov</w:t>
      </w:r>
      <w:r w:rsidR="00F247E3" w:rsidRPr="00B23DEB">
        <w:t xml:space="preserve">ernment </w:t>
      </w:r>
      <w:r w:rsidR="00E46B17" w:rsidRPr="00B23DEB">
        <w:t xml:space="preserve">urged </w:t>
      </w:r>
      <w:r w:rsidR="0074142F" w:rsidRPr="00B23DEB">
        <w:t>the Court to disregard those arguments.</w:t>
      </w:r>
    </w:p>
    <w:p w:rsidR="00181422" w:rsidRPr="00B23DEB" w:rsidRDefault="00F05DFA" w:rsidP="00B23DEB">
      <w:pPr>
        <w:pStyle w:val="ECHRPara"/>
      </w:pPr>
      <w:r w:rsidRPr="00B23DEB">
        <w:fldChar w:fldCharType="begin"/>
      </w:r>
      <w:r w:rsidRPr="00B23DEB">
        <w:instrText xml:space="preserve"> SEQ level0 \*arabic </w:instrText>
      </w:r>
      <w:r w:rsidRPr="00B23DEB">
        <w:fldChar w:fldCharType="separate"/>
      </w:r>
      <w:r w:rsidR="006549E3">
        <w:rPr>
          <w:noProof/>
        </w:rPr>
        <w:t>60</w:t>
      </w:r>
      <w:r w:rsidRPr="00B23DEB">
        <w:fldChar w:fldCharType="end"/>
      </w:r>
      <w:r w:rsidRPr="00B23DEB">
        <w:t>.  </w:t>
      </w:r>
      <w:r w:rsidR="00977913" w:rsidRPr="00B23DEB">
        <w:t xml:space="preserve">The </w:t>
      </w:r>
      <w:r w:rsidR="006B65F3" w:rsidRPr="00B23DEB">
        <w:t xml:space="preserve">Government </w:t>
      </w:r>
      <w:r w:rsidR="009F151F" w:rsidRPr="00B23DEB">
        <w:t>referred</w:t>
      </w:r>
      <w:r w:rsidR="006B65F3" w:rsidRPr="00B23DEB">
        <w:t xml:space="preserve"> to the Court</w:t>
      </w:r>
      <w:r w:rsidR="00B23DEB" w:rsidRPr="00B23DEB">
        <w:t>’</w:t>
      </w:r>
      <w:r w:rsidR="006B65F3" w:rsidRPr="00B23DEB">
        <w:t>s case-law</w:t>
      </w:r>
      <w:r w:rsidR="00E46B17" w:rsidRPr="00B23DEB">
        <w:t>,</w:t>
      </w:r>
      <w:r w:rsidR="006B65F3" w:rsidRPr="00B23DEB">
        <w:t xml:space="preserve"> which stated that</w:t>
      </w:r>
      <w:r w:rsidR="004A614C" w:rsidRPr="00B23DEB">
        <w:t xml:space="preserve"> an application for</w:t>
      </w:r>
      <w:r w:rsidR="006B65F3" w:rsidRPr="00B23DEB">
        <w:t xml:space="preserve"> </w:t>
      </w:r>
      <w:r w:rsidR="00E46B17" w:rsidRPr="00B23DEB">
        <w:t xml:space="preserve">a </w:t>
      </w:r>
      <w:r w:rsidR="006B65F3" w:rsidRPr="00B23DEB">
        <w:t xml:space="preserve">review of </w:t>
      </w:r>
      <w:r w:rsidR="00ED5620" w:rsidRPr="00B23DEB">
        <w:t xml:space="preserve">the </w:t>
      </w:r>
      <w:r w:rsidR="006B65F3" w:rsidRPr="00B23DEB">
        <w:t xml:space="preserve">constitutionality of </w:t>
      </w:r>
      <w:r w:rsidR="00E46B17" w:rsidRPr="00B23DEB">
        <w:t xml:space="preserve">a </w:t>
      </w:r>
      <w:r w:rsidR="006B65F3" w:rsidRPr="00B23DEB">
        <w:t xml:space="preserve">legal provision and </w:t>
      </w:r>
      <w:r w:rsidR="00E46B17" w:rsidRPr="00B23DEB">
        <w:t xml:space="preserve">its </w:t>
      </w:r>
      <w:r w:rsidR="006B65F3" w:rsidRPr="00B23DEB">
        <w:t xml:space="preserve">compatibility with </w:t>
      </w:r>
      <w:r w:rsidR="00E46B17" w:rsidRPr="00B23DEB">
        <w:t xml:space="preserve">a </w:t>
      </w:r>
      <w:r w:rsidR="006B65F3" w:rsidRPr="00B23DEB">
        <w:t xml:space="preserve">provision of superior legal force – where this was the scope of the </w:t>
      </w:r>
      <w:r w:rsidR="00FD4330" w:rsidRPr="00B23DEB">
        <w:t>Constitutional Court</w:t>
      </w:r>
      <w:r w:rsidR="00B23DEB" w:rsidRPr="00B23DEB">
        <w:t>’</w:t>
      </w:r>
      <w:r w:rsidR="006B65F3" w:rsidRPr="00B23DEB">
        <w:t xml:space="preserve">s </w:t>
      </w:r>
      <w:r w:rsidR="008D7B9A" w:rsidRPr="00B23DEB">
        <w:t>jurisdiction</w:t>
      </w:r>
      <w:r w:rsidR="006B65F3" w:rsidRPr="00B23DEB">
        <w:t xml:space="preserve"> – was required of the applicants if they were challenging a provision of a statute as being in itself contrary to the Convention (</w:t>
      </w:r>
      <w:r w:rsidR="002B7DD6" w:rsidRPr="00B23DEB">
        <w:rPr>
          <w:i/>
        </w:rPr>
        <w:t>Liepājnieks v. Latvia</w:t>
      </w:r>
      <w:r w:rsidR="00C7382B" w:rsidRPr="00B23DEB">
        <w:t xml:space="preserve"> (dec.), no. 37586/06, 2 </w:t>
      </w:r>
      <w:r w:rsidR="002B7DD6" w:rsidRPr="00B23DEB">
        <w:t>November 2010</w:t>
      </w:r>
      <w:r w:rsidR="00ED5620" w:rsidRPr="00B23DEB">
        <w:t>, and</w:t>
      </w:r>
      <w:r w:rsidR="002B7DD6" w:rsidRPr="00B23DEB">
        <w:t xml:space="preserve"> </w:t>
      </w:r>
      <w:r w:rsidR="006B65F3" w:rsidRPr="00B23DEB">
        <w:rPr>
          <w:i/>
        </w:rPr>
        <w:t xml:space="preserve">Grišankova et Grišankovs v. Latvia </w:t>
      </w:r>
      <w:r w:rsidR="00C7382B" w:rsidRPr="00B23DEB">
        <w:t>(dec.), no. </w:t>
      </w:r>
      <w:r w:rsidR="006B65F3" w:rsidRPr="00B23DEB">
        <w:t>36117/02, 13</w:t>
      </w:r>
      <w:r w:rsidR="002B7DD6" w:rsidRPr="00B23DEB">
        <w:t xml:space="preserve"> February 2003</w:t>
      </w:r>
      <w:r w:rsidR="006A71AB" w:rsidRPr="00B23DEB">
        <w:t xml:space="preserve">). </w:t>
      </w:r>
      <w:r w:rsidR="0097497B" w:rsidRPr="00B23DEB">
        <w:t xml:space="preserve">Should the Constitutional Court declare the </w:t>
      </w:r>
      <w:r w:rsidR="008D7B9A" w:rsidRPr="00B23DEB">
        <w:t>impugned</w:t>
      </w:r>
      <w:r w:rsidR="0097497B" w:rsidRPr="00B23DEB">
        <w:t xml:space="preserve"> </w:t>
      </w:r>
      <w:r w:rsidR="008D7B9A" w:rsidRPr="00B23DEB">
        <w:t>provision</w:t>
      </w:r>
      <w:r w:rsidR="0097497B" w:rsidRPr="00B23DEB">
        <w:t xml:space="preserve"> of the CCP unconstitutional, the domestic court would have the possibility </w:t>
      </w:r>
      <w:r w:rsidR="00E46B17" w:rsidRPr="00B23DEB">
        <w:t xml:space="preserve">of examining </w:t>
      </w:r>
      <w:r w:rsidR="0097497B" w:rsidRPr="00B23DEB">
        <w:t>the applicants</w:t>
      </w:r>
      <w:r w:rsidR="00B23DEB" w:rsidRPr="00B23DEB">
        <w:t>’</w:t>
      </w:r>
      <w:r w:rsidR="0097497B" w:rsidRPr="00B23DEB">
        <w:t xml:space="preserve"> interlocutory appeal.</w:t>
      </w:r>
    </w:p>
    <w:p w:rsidR="00764B82" w:rsidRPr="00B23DEB" w:rsidRDefault="00C7382B" w:rsidP="00B23DEB">
      <w:pPr>
        <w:pStyle w:val="ECHRHeading3"/>
      </w:pPr>
      <w:r w:rsidRPr="00B23DEB">
        <w:t>2.  </w:t>
      </w:r>
      <w:r w:rsidR="007A7A22" w:rsidRPr="00B23DEB">
        <w:t>The applicants</w:t>
      </w:r>
      <w:r w:rsidR="00B23DEB" w:rsidRPr="00B23DEB">
        <w:t>’</w:t>
      </w:r>
      <w:r w:rsidR="007A7A22" w:rsidRPr="00B23DEB">
        <w:t xml:space="preserve"> submissions</w:t>
      </w:r>
    </w:p>
    <w:p w:rsidR="00181422" w:rsidRPr="00B23DEB" w:rsidRDefault="00C07917" w:rsidP="00B23DEB">
      <w:pPr>
        <w:pStyle w:val="ECHRPara"/>
      </w:pPr>
      <w:r w:rsidRPr="00B23DEB">
        <w:fldChar w:fldCharType="begin"/>
      </w:r>
      <w:r w:rsidRPr="00B23DEB">
        <w:instrText xml:space="preserve"> SEQ level0 \*arabic </w:instrText>
      </w:r>
      <w:r w:rsidRPr="00B23DEB">
        <w:fldChar w:fldCharType="separate"/>
      </w:r>
      <w:r w:rsidR="006549E3">
        <w:rPr>
          <w:noProof/>
        </w:rPr>
        <w:t>61</w:t>
      </w:r>
      <w:r w:rsidRPr="00B23DEB">
        <w:fldChar w:fldCharType="end"/>
      </w:r>
      <w:r w:rsidRPr="00B23DEB">
        <w:t>.  </w:t>
      </w:r>
      <w:r w:rsidR="008E2B8A" w:rsidRPr="00B23DEB">
        <w:t>The applicants disagreed with the Government</w:t>
      </w:r>
      <w:r w:rsidR="00B23DEB" w:rsidRPr="00B23DEB">
        <w:t>’</w:t>
      </w:r>
      <w:r w:rsidR="008E2B8A" w:rsidRPr="00B23DEB">
        <w:t xml:space="preserve">s objection. </w:t>
      </w:r>
      <w:r w:rsidR="00F926F5" w:rsidRPr="00B23DEB">
        <w:t xml:space="preserve">They argued that the suspended proceedings before the Warsaw Regional Court pending </w:t>
      </w:r>
      <w:r w:rsidR="00FC6EE3" w:rsidRPr="00B23DEB">
        <w:t xml:space="preserve">a decision by the </w:t>
      </w:r>
      <w:r w:rsidR="00F926F5" w:rsidRPr="00B23DEB">
        <w:t>Constitutional Court on the legal question should not negatively affect the admissibility of their case. That was because the C</w:t>
      </w:r>
      <w:r w:rsidR="001D34AE" w:rsidRPr="00B23DEB">
        <w:t>onstitutional Court</w:t>
      </w:r>
      <w:r w:rsidR="00F926F5" w:rsidRPr="00B23DEB">
        <w:t xml:space="preserve"> could no longer be </w:t>
      </w:r>
      <w:r w:rsidR="00DD0B09" w:rsidRPr="00B23DEB">
        <w:t xml:space="preserve">regarded </w:t>
      </w:r>
      <w:r w:rsidR="00F926F5" w:rsidRPr="00B23DEB">
        <w:t>as an effective and impartial judicial body able to fulfil its constitutional duties.</w:t>
      </w:r>
    </w:p>
    <w:p w:rsidR="00181422" w:rsidRPr="00B23DEB" w:rsidRDefault="009D1B2F" w:rsidP="00B23DEB">
      <w:pPr>
        <w:pStyle w:val="ECHRPara"/>
      </w:pPr>
      <w:r w:rsidRPr="00B23DEB">
        <w:fldChar w:fldCharType="begin"/>
      </w:r>
      <w:r w:rsidRPr="00B23DEB">
        <w:instrText xml:space="preserve"> SEQ level0 \*arabic </w:instrText>
      </w:r>
      <w:r w:rsidRPr="00B23DEB">
        <w:fldChar w:fldCharType="separate"/>
      </w:r>
      <w:r w:rsidR="006549E3">
        <w:rPr>
          <w:noProof/>
        </w:rPr>
        <w:t>62</w:t>
      </w:r>
      <w:r w:rsidRPr="00B23DEB">
        <w:fldChar w:fldCharType="end"/>
      </w:r>
      <w:r w:rsidRPr="00B23DEB">
        <w:t>.</w:t>
      </w:r>
      <w:r w:rsidRPr="00B23DEB">
        <w:rPr>
          <w:b/>
        </w:rPr>
        <w:t>  </w:t>
      </w:r>
      <w:r w:rsidR="00DD0B09" w:rsidRPr="00B23DEB">
        <w:t xml:space="preserve">Considering that </w:t>
      </w:r>
      <w:r w:rsidR="00573891" w:rsidRPr="00B23DEB">
        <w:t xml:space="preserve">the </w:t>
      </w:r>
      <w:r w:rsidR="001D34AE" w:rsidRPr="00B23DEB">
        <w:t xml:space="preserve">Constitutional Court </w:t>
      </w:r>
      <w:r w:rsidR="00573891" w:rsidRPr="00B23DEB">
        <w:t>was no longer an independent and effective body</w:t>
      </w:r>
      <w:r w:rsidR="00DD0B09" w:rsidRPr="00B23DEB">
        <w:t xml:space="preserve"> and b</w:t>
      </w:r>
      <w:r w:rsidR="00573891" w:rsidRPr="00B23DEB">
        <w:t xml:space="preserve">eing aware of the current situation of the </w:t>
      </w:r>
      <w:r w:rsidR="001D34AE" w:rsidRPr="00B23DEB">
        <w:t>Constitutional Court</w:t>
      </w:r>
      <w:r w:rsidR="00573891" w:rsidRPr="00B23DEB">
        <w:t xml:space="preserve">, the applicants </w:t>
      </w:r>
      <w:r w:rsidR="00C143A2" w:rsidRPr="00B23DEB">
        <w:t xml:space="preserve">had never </w:t>
      </w:r>
      <w:r w:rsidR="005828D8" w:rsidRPr="00B23DEB">
        <w:t xml:space="preserve">asked </w:t>
      </w:r>
      <w:r w:rsidR="00C143A2" w:rsidRPr="00B23DEB">
        <w:t xml:space="preserve">the Warsaw Regional Court to </w:t>
      </w:r>
      <w:r w:rsidR="00F07973" w:rsidRPr="00B23DEB">
        <w:t>refer</w:t>
      </w:r>
      <w:r w:rsidR="00C143A2" w:rsidRPr="00B23DEB">
        <w:t xml:space="preserve"> a legal question to the </w:t>
      </w:r>
      <w:r w:rsidR="001D34AE" w:rsidRPr="00B23DEB">
        <w:t>Constitutional Court</w:t>
      </w:r>
      <w:r w:rsidR="00C143A2" w:rsidRPr="00B23DEB">
        <w:t xml:space="preserve">. Instead, their lawyer </w:t>
      </w:r>
      <w:r w:rsidR="005828D8" w:rsidRPr="00B23DEB">
        <w:t xml:space="preserve">had </w:t>
      </w:r>
      <w:r w:rsidR="00C143A2" w:rsidRPr="00B23DEB">
        <w:t>asked the Regional Court at the hearing held on 9 March 2017 to quash the prosecutor</w:t>
      </w:r>
      <w:r w:rsidR="00B23DEB" w:rsidRPr="00B23DEB">
        <w:t>’</w:t>
      </w:r>
      <w:r w:rsidR="00C143A2" w:rsidRPr="00B23DEB">
        <w:t>s decision directly on the basis of the Constitution.</w:t>
      </w:r>
    </w:p>
    <w:p w:rsidR="00181422" w:rsidRPr="00B23DEB" w:rsidRDefault="005B244C" w:rsidP="00B23DEB">
      <w:pPr>
        <w:pStyle w:val="ECHRPara"/>
      </w:pPr>
      <w:r w:rsidRPr="00B23DEB">
        <w:fldChar w:fldCharType="begin"/>
      </w:r>
      <w:r w:rsidRPr="00B23DEB">
        <w:instrText xml:space="preserve"> SEQ level0 \*arabic </w:instrText>
      </w:r>
      <w:r w:rsidRPr="00B23DEB">
        <w:fldChar w:fldCharType="separate"/>
      </w:r>
      <w:r w:rsidR="006549E3">
        <w:rPr>
          <w:noProof/>
        </w:rPr>
        <w:t>63</w:t>
      </w:r>
      <w:r w:rsidRPr="00B23DEB">
        <w:fldChar w:fldCharType="end"/>
      </w:r>
      <w:r w:rsidRPr="00B23DEB">
        <w:t xml:space="preserve">.  However, even leaving aside the question of </w:t>
      </w:r>
      <w:r w:rsidR="005828D8" w:rsidRPr="00B23DEB">
        <w:t xml:space="preserve">the </w:t>
      </w:r>
      <w:r w:rsidRPr="00B23DEB">
        <w:t xml:space="preserve">independence, impartiality and effectiveness </w:t>
      </w:r>
      <w:r w:rsidR="00073CC7" w:rsidRPr="00B23DEB">
        <w:t xml:space="preserve">of the </w:t>
      </w:r>
      <w:r w:rsidR="001D34AE" w:rsidRPr="00B23DEB">
        <w:t>Constitutional Court</w:t>
      </w:r>
      <w:r w:rsidR="00073CC7" w:rsidRPr="00B23DEB">
        <w:t xml:space="preserve">, the applicants </w:t>
      </w:r>
      <w:r w:rsidR="005828D8" w:rsidRPr="00B23DEB">
        <w:t xml:space="preserve">stressed </w:t>
      </w:r>
      <w:r w:rsidR="00073CC7" w:rsidRPr="00B23DEB">
        <w:t xml:space="preserve">that neither the </w:t>
      </w:r>
      <w:r w:rsidR="005828D8" w:rsidRPr="00B23DEB">
        <w:t xml:space="preserve">judgment of the </w:t>
      </w:r>
      <w:r w:rsidR="001D34AE" w:rsidRPr="00B23DEB">
        <w:t>Constitutional Court</w:t>
      </w:r>
      <w:r w:rsidR="00073CC7" w:rsidRPr="00B23DEB">
        <w:t xml:space="preserve"> nor </w:t>
      </w:r>
      <w:r w:rsidR="005828D8" w:rsidRPr="00B23DEB">
        <w:t xml:space="preserve">that of </w:t>
      </w:r>
      <w:r w:rsidR="00073CC7" w:rsidRPr="00B23DEB">
        <w:t xml:space="preserve">the Warsaw Reginal Court </w:t>
      </w:r>
      <w:r w:rsidR="005828D8" w:rsidRPr="00B23DEB">
        <w:t xml:space="preserve">had been able to </w:t>
      </w:r>
      <w:r w:rsidR="00073CC7" w:rsidRPr="00B23DEB">
        <w:t>suspend the execution of the prosecutor</w:t>
      </w:r>
      <w:r w:rsidR="00B23DEB" w:rsidRPr="00B23DEB">
        <w:t>’</w:t>
      </w:r>
      <w:r w:rsidR="00073CC7" w:rsidRPr="00B23DEB">
        <w:t xml:space="preserve">s decision. </w:t>
      </w:r>
      <w:r w:rsidR="00DC49DD" w:rsidRPr="00B23DEB">
        <w:t xml:space="preserve">In fact, the exhumations </w:t>
      </w:r>
      <w:r w:rsidR="00DA133B" w:rsidRPr="00B23DEB">
        <w:t xml:space="preserve">had been </w:t>
      </w:r>
      <w:r w:rsidR="00181422" w:rsidRPr="00B23DEB">
        <w:t>carried out on 14 </w:t>
      </w:r>
      <w:r w:rsidR="00DC49DD" w:rsidRPr="00B23DEB">
        <w:t xml:space="preserve">and 16 May 2018 respectively, </w:t>
      </w:r>
      <w:r w:rsidR="00073CC7" w:rsidRPr="00B23DEB">
        <w:t xml:space="preserve">without waiting for the conclusion of the proceedings before the </w:t>
      </w:r>
      <w:r w:rsidR="001D34AE" w:rsidRPr="00B23DEB">
        <w:t>Constitutional Court</w:t>
      </w:r>
      <w:r w:rsidR="00073CC7" w:rsidRPr="00B23DEB">
        <w:t>. In the applicants</w:t>
      </w:r>
      <w:r w:rsidR="00B23DEB" w:rsidRPr="00B23DEB">
        <w:t>’</w:t>
      </w:r>
      <w:r w:rsidR="00073CC7" w:rsidRPr="00B23DEB">
        <w:t xml:space="preserve"> view, without </w:t>
      </w:r>
      <w:r w:rsidR="005828D8" w:rsidRPr="00B23DEB">
        <w:t xml:space="preserve">any prospect of </w:t>
      </w:r>
      <w:r w:rsidR="00272EDE" w:rsidRPr="00B23DEB">
        <w:t xml:space="preserve">suspending </w:t>
      </w:r>
      <w:r w:rsidR="00073CC7" w:rsidRPr="00B23DEB">
        <w:t>the prosecutor</w:t>
      </w:r>
      <w:r w:rsidR="00B23DEB" w:rsidRPr="00B23DEB">
        <w:t>’</w:t>
      </w:r>
      <w:r w:rsidR="00073CC7" w:rsidRPr="00B23DEB">
        <w:t>s decision</w:t>
      </w:r>
      <w:r w:rsidR="005828D8" w:rsidRPr="00B23DEB">
        <w:t>,</w:t>
      </w:r>
      <w:r w:rsidR="00073CC7" w:rsidRPr="00B23DEB">
        <w:t xml:space="preserve"> the only redress they could theoretically </w:t>
      </w:r>
      <w:r w:rsidR="005828D8" w:rsidRPr="00B23DEB">
        <w:t xml:space="preserve">have </w:t>
      </w:r>
      <w:r w:rsidR="00073CC7" w:rsidRPr="00B23DEB">
        <w:t>obtain</w:t>
      </w:r>
      <w:r w:rsidR="00DC49DD" w:rsidRPr="00B23DEB">
        <w:t>ed</w:t>
      </w:r>
      <w:r w:rsidR="00073CC7" w:rsidRPr="00B23DEB">
        <w:t xml:space="preserve"> after many </w:t>
      </w:r>
      <w:r w:rsidR="004071E3" w:rsidRPr="00B23DEB">
        <w:t>years</w:t>
      </w:r>
      <w:r w:rsidR="00073CC7" w:rsidRPr="00B23DEB">
        <w:t xml:space="preserve"> of proceedings</w:t>
      </w:r>
      <w:r w:rsidR="004071E3" w:rsidRPr="00B23DEB">
        <w:t xml:space="preserve"> before the </w:t>
      </w:r>
      <w:r w:rsidR="001D34AE" w:rsidRPr="00B23DEB">
        <w:t xml:space="preserve">Constitutional Court </w:t>
      </w:r>
      <w:r w:rsidR="004071E3" w:rsidRPr="00B23DEB">
        <w:t>and the Regional Court</w:t>
      </w:r>
      <w:r w:rsidR="00DA133B" w:rsidRPr="00B23DEB">
        <w:t>,</w:t>
      </w:r>
      <w:r w:rsidR="004071E3" w:rsidRPr="00B23DEB">
        <w:t xml:space="preserve"> would be moral satisfaction from confirmation that the exhumation </w:t>
      </w:r>
      <w:r w:rsidR="00FA3CB7" w:rsidRPr="00B23DEB">
        <w:t xml:space="preserve">had been </w:t>
      </w:r>
      <w:r w:rsidR="004071E3" w:rsidRPr="00B23DEB">
        <w:t xml:space="preserve">unlawful. To obtain just satisfaction </w:t>
      </w:r>
      <w:r w:rsidR="0067113E" w:rsidRPr="00B23DEB">
        <w:t xml:space="preserve">for </w:t>
      </w:r>
      <w:r w:rsidR="00FA3CB7" w:rsidRPr="00B23DEB">
        <w:t xml:space="preserve">the </w:t>
      </w:r>
      <w:r w:rsidR="0067113E" w:rsidRPr="00B23DEB">
        <w:t>non-pecuniary damage</w:t>
      </w:r>
      <w:r w:rsidR="00FA3CB7" w:rsidRPr="00B23DEB">
        <w:t xml:space="preserve"> suffered by them</w:t>
      </w:r>
      <w:r w:rsidR="0067113E" w:rsidRPr="00B23DEB">
        <w:t>, they would have to initiate civil proceedings</w:t>
      </w:r>
      <w:r w:rsidR="00FA3CB7" w:rsidRPr="00B23DEB">
        <w:t>,</w:t>
      </w:r>
      <w:r w:rsidR="0067113E" w:rsidRPr="00B23DEB">
        <w:t xml:space="preserve"> which could last several more years. Therefore, the applicants believe</w:t>
      </w:r>
      <w:r w:rsidR="00FA3CB7" w:rsidRPr="00B23DEB">
        <w:t>d</w:t>
      </w:r>
      <w:r w:rsidR="0067113E" w:rsidRPr="00B23DEB">
        <w:t xml:space="preserve"> </w:t>
      </w:r>
      <w:r w:rsidR="002B751D" w:rsidRPr="00B23DEB">
        <w:t xml:space="preserve">that the only remedy which could be considered effective in their case would </w:t>
      </w:r>
      <w:r w:rsidR="00DC49DD" w:rsidRPr="00B23DEB">
        <w:t xml:space="preserve">be </w:t>
      </w:r>
      <w:r w:rsidR="002B751D" w:rsidRPr="00B23DEB">
        <w:t>a suspensive interlocutory appeal against a prosecutor</w:t>
      </w:r>
      <w:r w:rsidR="00B23DEB" w:rsidRPr="00B23DEB">
        <w:t>’</w:t>
      </w:r>
      <w:r w:rsidR="002B751D" w:rsidRPr="00B23DEB">
        <w:t>s decision to exhume a body.</w:t>
      </w:r>
    </w:p>
    <w:p w:rsidR="00181422" w:rsidRPr="00B23DEB" w:rsidRDefault="00265616" w:rsidP="00B23DEB">
      <w:pPr>
        <w:pStyle w:val="ECHRPara"/>
        <w:rPr>
          <w:noProof/>
        </w:rPr>
      </w:pPr>
      <w:r w:rsidRPr="00B23DEB">
        <w:fldChar w:fldCharType="begin"/>
      </w:r>
      <w:r w:rsidRPr="00B23DEB">
        <w:instrText xml:space="preserve"> SEQ level0 \*arabic </w:instrText>
      </w:r>
      <w:r w:rsidRPr="00B23DEB">
        <w:fldChar w:fldCharType="separate"/>
      </w:r>
      <w:r w:rsidR="006549E3">
        <w:rPr>
          <w:noProof/>
        </w:rPr>
        <w:t>64</w:t>
      </w:r>
      <w:r w:rsidRPr="00B23DEB">
        <w:fldChar w:fldCharType="end"/>
      </w:r>
      <w:r w:rsidRPr="00B23DEB">
        <w:t xml:space="preserve">.  Lastly, the applicants had unsuccessfully </w:t>
      </w:r>
      <w:r w:rsidR="00DA133B" w:rsidRPr="00B23DEB">
        <w:t xml:space="preserve">applied to </w:t>
      </w:r>
      <w:r w:rsidR="00FC2F3C" w:rsidRPr="00B23DEB">
        <w:t xml:space="preserve">the </w:t>
      </w:r>
      <w:r w:rsidRPr="00B23DEB">
        <w:t xml:space="preserve">civil courts </w:t>
      </w:r>
      <w:r w:rsidR="00DA133B" w:rsidRPr="00B23DEB">
        <w:t xml:space="preserve">for </w:t>
      </w:r>
      <w:r w:rsidRPr="00B23DEB">
        <w:t xml:space="preserve">an injunction preventing the prosecutor from carrying out the exhumations. </w:t>
      </w:r>
      <w:r w:rsidR="00DF4EB6" w:rsidRPr="00B23DEB">
        <w:t xml:space="preserve">In this regard, they </w:t>
      </w:r>
      <w:r w:rsidR="00FA3CB7" w:rsidRPr="00B23DEB">
        <w:t xml:space="preserve">referred to </w:t>
      </w:r>
      <w:r w:rsidR="00DF4EB6" w:rsidRPr="00B23DEB">
        <w:t>the Court</w:t>
      </w:r>
      <w:r w:rsidR="00B23DEB" w:rsidRPr="00B23DEB">
        <w:t>’</w:t>
      </w:r>
      <w:r w:rsidR="00DF4EB6" w:rsidRPr="00B23DEB">
        <w:t xml:space="preserve">s case-law according to which “when a remedy has been pursued, use of another remedy which has </w:t>
      </w:r>
      <w:r w:rsidR="0014441C" w:rsidRPr="00B23DEB">
        <w:t>essentially</w:t>
      </w:r>
      <w:r w:rsidR="00DF4EB6" w:rsidRPr="00B23DEB">
        <w:t xml:space="preserve"> the same objective is not required” (</w:t>
      </w:r>
      <w:r w:rsidR="009E7B7C" w:rsidRPr="00B23DEB">
        <w:rPr>
          <w:i/>
        </w:rPr>
        <w:t>Jeličić v. Bosnia and </w:t>
      </w:r>
      <w:r w:rsidR="0014441C" w:rsidRPr="00B23DEB">
        <w:rPr>
          <w:i/>
        </w:rPr>
        <w:t>Herzegovina</w:t>
      </w:r>
      <w:r w:rsidR="0014441C" w:rsidRPr="00B23DEB">
        <w:rPr>
          <w:noProof/>
        </w:rPr>
        <w:t xml:space="preserve"> (dec.), no. 41183/02</w:t>
      </w:r>
      <w:r w:rsidR="0014441C" w:rsidRPr="00B23DEB">
        <w:t xml:space="preserve">, </w:t>
      </w:r>
      <w:r w:rsidR="0014441C" w:rsidRPr="00B23DEB">
        <w:rPr>
          <w:noProof/>
        </w:rPr>
        <w:t>ECHR 2005</w:t>
      </w:r>
      <w:r w:rsidR="0014441C" w:rsidRPr="00B23DEB">
        <w:rPr>
          <w:noProof/>
        </w:rPr>
        <w:noBreakHyphen/>
        <w:t>XII (extracts)). Ther</w:t>
      </w:r>
      <w:r w:rsidR="00DA133B" w:rsidRPr="00B23DEB">
        <w:rPr>
          <w:noProof/>
        </w:rPr>
        <w:t>e</w:t>
      </w:r>
      <w:r w:rsidR="0014441C" w:rsidRPr="00B23DEB">
        <w:rPr>
          <w:noProof/>
        </w:rPr>
        <w:t xml:space="preserve">fore, </w:t>
      </w:r>
      <w:r w:rsidR="00DA133B" w:rsidRPr="00B23DEB">
        <w:rPr>
          <w:noProof/>
        </w:rPr>
        <w:t xml:space="preserve">given that </w:t>
      </w:r>
      <w:r w:rsidR="0014441C" w:rsidRPr="00B23DEB">
        <w:rPr>
          <w:noProof/>
        </w:rPr>
        <w:t>the</w:t>
      </w:r>
      <w:r w:rsidR="00FA3CB7" w:rsidRPr="00B23DEB">
        <w:rPr>
          <w:noProof/>
        </w:rPr>
        <w:t>y</w:t>
      </w:r>
      <w:r w:rsidR="0014441C" w:rsidRPr="00B23DEB">
        <w:rPr>
          <w:noProof/>
        </w:rPr>
        <w:t xml:space="preserve"> </w:t>
      </w:r>
      <w:r w:rsidR="00DA133B" w:rsidRPr="00B23DEB">
        <w:rPr>
          <w:noProof/>
        </w:rPr>
        <w:t xml:space="preserve">had </w:t>
      </w:r>
      <w:r w:rsidR="0014441C" w:rsidRPr="00B23DEB">
        <w:rPr>
          <w:noProof/>
        </w:rPr>
        <w:t xml:space="preserve">made use of the possibility </w:t>
      </w:r>
      <w:r w:rsidR="00FA3CB7" w:rsidRPr="00B23DEB">
        <w:rPr>
          <w:noProof/>
        </w:rPr>
        <w:t xml:space="preserve">of </w:t>
      </w:r>
      <w:r w:rsidR="0014441C" w:rsidRPr="00B23DEB">
        <w:rPr>
          <w:noProof/>
        </w:rPr>
        <w:t>seek</w:t>
      </w:r>
      <w:r w:rsidR="00FA3CB7" w:rsidRPr="00B23DEB">
        <w:rPr>
          <w:noProof/>
        </w:rPr>
        <w:t>ing</w:t>
      </w:r>
      <w:r w:rsidR="0014441C" w:rsidRPr="00B23DEB">
        <w:rPr>
          <w:noProof/>
        </w:rPr>
        <w:t xml:space="preserve"> </w:t>
      </w:r>
      <w:r w:rsidR="00FA3CB7" w:rsidRPr="00B23DEB">
        <w:rPr>
          <w:noProof/>
        </w:rPr>
        <w:t xml:space="preserve">an </w:t>
      </w:r>
      <w:r w:rsidR="0014441C" w:rsidRPr="00B23DEB">
        <w:rPr>
          <w:noProof/>
        </w:rPr>
        <w:t xml:space="preserve">injunction, </w:t>
      </w:r>
      <w:r w:rsidR="00FA3CB7" w:rsidRPr="00B23DEB">
        <w:rPr>
          <w:noProof/>
        </w:rPr>
        <w:t xml:space="preserve">they could not justifiably be required </w:t>
      </w:r>
      <w:r w:rsidR="0014441C" w:rsidRPr="00B23DEB">
        <w:rPr>
          <w:noProof/>
        </w:rPr>
        <w:t>to pursue other remedies.</w:t>
      </w:r>
    </w:p>
    <w:p w:rsidR="00181422" w:rsidRPr="00B23DEB" w:rsidRDefault="0014441C" w:rsidP="00B23DEB">
      <w:pPr>
        <w:pStyle w:val="ECHRPara"/>
        <w:rPr>
          <w:noProof/>
        </w:rPr>
      </w:pPr>
      <w:r w:rsidRPr="00B23DEB">
        <w:rPr>
          <w:noProof/>
        </w:rPr>
        <w:fldChar w:fldCharType="begin"/>
      </w:r>
      <w:r w:rsidRPr="00B23DEB">
        <w:rPr>
          <w:noProof/>
        </w:rPr>
        <w:instrText xml:space="preserve"> SEQ level0 \*arabic </w:instrText>
      </w:r>
      <w:r w:rsidRPr="00B23DEB">
        <w:rPr>
          <w:noProof/>
        </w:rPr>
        <w:fldChar w:fldCharType="separate"/>
      </w:r>
      <w:r w:rsidR="006549E3">
        <w:rPr>
          <w:noProof/>
        </w:rPr>
        <w:t>65</w:t>
      </w:r>
      <w:r w:rsidRPr="00B23DEB">
        <w:rPr>
          <w:noProof/>
        </w:rPr>
        <w:fldChar w:fldCharType="end"/>
      </w:r>
      <w:r w:rsidRPr="00B23DEB">
        <w:rPr>
          <w:noProof/>
        </w:rPr>
        <w:t>.  </w:t>
      </w:r>
      <w:r w:rsidR="000C34BC" w:rsidRPr="00B23DEB">
        <w:rPr>
          <w:noProof/>
        </w:rPr>
        <w:t>T</w:t>
      </w:r>
      <w:r w:rsidRPr="00B23DEB">
        <w:rPr>
          <w:noProof/>
        </w:rPr>
        <w:t>he applicant</w:t>
      </w:r>
      <w:r w:rsidR="000C34BC" w:rsidRPr="00B23DEB">
        <w:rPr>
          <w:noProof/>
        </w:rPr>
        <w:t>s</w:t>
      </w:r>
      <w:r w:rsidRPr="00B23DEB">
        <w:rPr>
          <w:noProof/>
        </w:rPr>
        <w:t xml:space="preserve"> maintained that the domestic law did not provide them with any effective remedy which they could have used before applying to the Court.</w:t>
      </w:r>
    </w:p>
    <w:p w:rsidR="00181422" w:rsidRPr="00B23DEB" w:rsidRDefault="00C7382B" w:rsidP="00B23DEB">
      <w:pPr>
        <w:pStyle w:val="ECHRHeading3"/>
      </w:pPr>
      <w:r w:rsidRPr="00B23DEB">
        <w:t>3.  </w:t>
      </w:r>
      <w:r w:rsidR="007A7A22" w:rsidRPr="00B23DEB">
        <w:t>The Court</w:t>
      </w:r>
      <w:r w:rsidR="00B23DEB" w:rsidRPr="00B23DEB">
        <w:t>’</w:t>
      </w:r>
      <w:r w:rsidR="007A7A22" w:rsidRPr="00B23DEB">
        <w:t>s assessment</w:t>
      </w:r>
    </w:p>
    <w:p w:rsidR="00181422" w:rsidRPr="00B23DEB" w:rsidRDefault="007A7A22" w:rsidP="00B23DEB">
      <w:pPr>
        <w:pStyle w:val="ECHRPara"/>
      </w:pPr>
      <w:r w:rsidRPr="00B23DEB">
        <w:fldChar w:fldCharType="begin"/>
      </w:r>
      <w:r w:rsidRPr="00B23DEB">
        <w:instrText xml:space="preserve"> SEQ level0 \*arabic </w:instrText>
      </w:r>
      <w:r w:rsidRPr="00B23DEB">
        <w:fldChar w:fldCharType="separate"/>
      </w:r>
      <w:r w:rsidR="006549E3">
        <w:rPr>
          <w:noProof/>
        </w:rPr>
        <w:t>66</w:t>
      </w:r>
      <w:r w:rsidRPr="00B23DEB">
        <w:fldChar w:fldCharType="end"/>
      </w:r>
      <w:r w:rsidRPr="00B23DEB">
        <w:t>.  </w:t>
      </w:r>
      <w:r w:rsidR="004B20DC" w:rsidRPr="00B23DEB">
        <w:t>The Court reiterates that under Article</w:t>
      </w:r>
      <w:r w:rsidR="009E7B7C" w:rsidRPr="00B23DEB">
        <w:t xml:space="preserve"> 35 § 1 it may only deal with a </w:t>
      </w:r>
      <w:r w:rsidR="004B20DC" w:rsidRPr="00B23DEB">
        <w:t>matter after all domestic remedies have been exhausted. Applicants must have provided the domestic courts with the opportunity, in principle intended to be afforded to Contracting States, of preventing or putting right the violations alleged against them. That rule is based on the assumption that there is an effective remedy available in the domestic system in respect of the alleged breach. The only remedies which Article 35 § 1 requires to be exhausted are those that relate to the breach alleged and are available and sufficient. The existence of such remedies must be sufficiently certain</w:t>
      </w:r>
      <w:r w:rsidR="00C27C80" w:rsidRPr="00B23DEB">
        <w:t>,</w:t>
      </w:r>
      <w:r w:rsidR="004B20DC" w:rsidRPr="00B23DEB">
        <w:t xml:space="preserve"> not only in theory but also in practice, failing which they will lack the requisite accessibility and effectiveness: it falls to the respondent State to establish that these conditions are satisfied (see, among many other authorities, </w:t>
      </w:r>
      <w:r w:rsidR="004B20DC" w:rsidRPr="00B23DEB">
        <w:rPr>
          <w:i/>
        </w:rPr>
        <w:t xml:space="preserve">Vučković and Others v. Serbia </w:t>
      </w:r>
      <w:r w:rsidR="004B20DC" w:rsidRPr="00B23DEB">
        <w:t>[GC], no. 17153/11, §§ 69-77, 25 March 2014</w:t>
      </w:r>
      <w:r w:rsidR="00C27C80" w:rsidRPr="00B23DEB">
        <w:t>,</w:t>
      </w:r>
      <w:r w:rsidR="004B20DC" w:rsidRPr="00B23DEB">
        <w:t xml:space="preserve"> and </w:t>
      </w:r>
      <w:r w:rsidR="004B20DC" w:rsidRPr="00B23DEB">
        <w:rPr>
          <w:i/>
        </w:rPr>
        <w:t xml:space="preserve">Parrillo v. Italy </w:t>
      </w:r>
      <w:r w:rsidR="004B20DC" w:rsidRPr="00B23DEB">
        <w:t>[GC], no. 46470/11, § 87,</w:t>
      </w:r>
      <w:r w:rsidR="004B20DC" w:rsidRPr="00B23DEB">
        <w:rPr>
          <w:lang w:val="es-ES_tradnl"/>
        </w:rPr>
        <w:t xml:space="preserve"> </w:t>
      </w:r>
      <w:r w:rsidR="004B20DC" w:rsidRPr="00B23DEB">
        <w:t>ECHR 2015, with further references).</w:t>
      </w:r>
    </w:p>
    <w:p w:rsidR="008A05DD" w:rsidRPr="00B23DEB" w:rsidRDefault="009443D5" w:rsidP="00B23DEB">
      <w:pPr>
        <w:pStyle w:val="ECHRPara"/>
      </w:pPr>
      <w:r w:rsidRPr="00B23DEB">
        <w:fldChar w:fldCharType="begin"/>
      </w:r>
      <w:r w:rsidRPr="00B23DEB">
        <w:instrText xml:space="preserve"> SEQ level0 \*arabic </w:instrText>
      </w:r>
      <w:r w:rsidRPr="00B23DEB">
        <w:fldChar w:fldCharType="separate"/>
      </w:r>
      <w:r w:rsidR="006549E3">
        <w:rPr>
          <w:noProof/>
        </w:rPr>
        <w:t>67</w:t>
      </w:r>
      <w:r w:rsidRPr="00B23DEB">
        <w:fldChar w:fldCharType="end"/>
      </w:r>
      <w:r w:rsidRPr="00B23DEB">
        <w:t>.  </w:t>
      </w:r>
      <w:r w:rsidR="00385105" w:rsidRPr="00B23DEB">
        <w:t xml:space="preserve">In the instant case, </w:t>
      </w:r>
      <w:r w:rsidR="00336ED3" w:rsidRPr="00B23DEB">
        <w:t xml:space="preserve">relying on the proceedings pending before the Constitutional Court following </w:t>
      </w:r>
      <w:r w:rsidR="00C50812" w:rsidRPr="00B23DEB">
        <w:t>the</w:t>
      </w:r>
      <w:r w:rsidR="00336ED3" w:rsidRPr="00B23DEB">
        <w:t xml:space="preserve"> referral of </w:t>
      </w:r>
      <w:r w:rsidR="00C50812" w:rsidRPr="00B23DEB">
        <w:t xml:space="preserve">a </w:t>
      </w:r>
      <w:r w:rsidR="00336ED3" w:rsidRPr="00B23DEB">
        <w:t xml:space="preserve">legal question, the </w:t>
      </w:r>
      <w:r w:rsidR="00EE5257" w:rsidRPr="00B23DEB">
        <w:t xml:space="preserve">Government </w:t>
      </w:r>
      <w:r w:rsidR="00401699" w:rsidRPr="00B23DEB">
        <w:t xml:space="preserve">pleaded </w:t>
      </w:r>
      <w:r w:rsidR="00EE5257" w:rsidRPr="00B23DEB">
        <w:t xml:space="preserve">that </w:t>
      </w:r>
      <w:r w:rsidR="00DA166D" w:rsidRPr="00B23DEB">
        <w:t>the applications</w:t>
      </w:r>
      <w:r w:rsidR="0055412E" w:rsidRPr="00B23DEB">
        <w:t xml:space="preserve"> </w:t>
      </w:r>
      <w:r w:rsidR="00C27C80" w:rsidRPr="00B23DEB">
        <w:t xml:space="preserve">were </w:t>
      </w:r>
      <w:r w:rsidR="0055412E" w:rsidRPr="00B23DEB">
        <w:t>premature</w:t>
      </w:r>
      <w:r w:rsidR="00336ED3" w:rsidRPr="00B23DEB">
        <w:t xml:space="preserve">. The </w:t>
      </w:r>
      <w:r w:rsidR="00766B78" w:rsidRPr="00B23DEB">
        <w:t xml:space="preserve">Warsaw Regional Court, </w:t>
      </w:r>
      <w:r w:rsidR="00EC0098" w:rsidRPr="00B23DEB">
        <w:t xml:space="preserve">while examining </w:t>
      </w:r>
      <w:r w:rsidR="00766B78" w:rsidRPr="00B23DEB">
        <w:t>the applicants</w:t>
      </w:r>
      <w:r w:rsidR="00B23DEB" w:rsidRPr="00B23DEB">
        <w:t>’</w:t>
      </w:r>
      <w:r w:rsidR="00766B78" w:rsidRPr="00B23DEB">
        <w:t xml:space="preserve"> interlocutory appeals against the prosecutor</w:t>
      </w:r>
      <w:r w:rsidR="00B23DEB" w:rsidRPr="00B23DEB">
        <w:t>’</w:t>
      </w:r>
      <w:r w:rsidR="00766B78" w:rsidRPr="00B23DEB">
        <w:t xml:space="preserve">s decision of 7 October 2016, </w:t>
      </w:r>
      <w:r w:rsidR="00C50812" w:rsidRPr="00B23DEB">
        <w:t xml:space="preserve">had </w:t>
      </w:r>
      <w:r w:rsidR="00EC0098" w:rsidRPr="00B23DEB">
        <w:t xml:space="preserve">decided to refer to the Constitutional Court </w:t>
      </w:r>
      <w:r w:rsidR="00E02A62" w:rsidRPr="00B23DEB">
        <w:t xml:space="preserve">a </w:t>
      </w:r>
      <w:r w:rsidR="006868E3" w:rsidRPr="00B23DEB">
        <w:t xml:space="preserve">legal </w:t>
      </w:r>
      <w:r w:rsidR="00E02A62" w:rsidRPr="00B23DEB">
        <w:t xml:space="preserve">question on </w:t>
      </w:r>
      <w:r w:rsidR="00EC0098" w:rsidRPr="00B23DEB">
        <w:t xml:space="preserve">the </w:t>
      </w:r>
      <w:r w:rsidR="006868E3" w:rsidRPr="00B23DEB">
        <w:t>conformity of Article 210 of the CCP with the Constitution and the Convention.</w:t>
      </w:r>
    </w:p>
    <w:p w:rsidR="00181422" w:rsidRPr="00B23DEB" w:rsidRDefault="005A03E8" w:rsidP="00B23DEB">
      <w:pPr>
        <w:pStyle w:val="ECHRPara"/>
      </w:pPr>
      <w:r w:rsidRPr="00B23DEB">
        <w:fldChar w:fldCharType="begin"/>
      </w:r>
      <w:r w:rsidRPr="00B23DEB">
        <w:instrText xml:space="preserve"> SEQ level0 \*arabic </w:instrText>
      </w:r>
      <w:r w:rsidRPr="00B23DEB">
        <w:fldChar w:fldCharType="separate"/>
      </w:r>
      <w:r w:rsidR="006549E3">
        <w:rPr>
          <w:noProof/>
        </w:rPr>
        <w:t>68</w:t>
      </w:r>
      <w:r w:rsidRPr="00B23DEB">
        <w:fldChar w:fldCharType="end"/>
      </w:r>
      <w:r w:rsidRPr="00B23DEB">
        <w:t>.  </w:t>
      </w:r>
      <w:r w:rsidR="00034F21" w:rsidRPr="00B23DEB">
        <w:t>T</w:t>
      </w:r>
      <w:r w:rsidR="00977B32" w:rsidRPr="00B23DEB">
        <w:t xml:space="preserve">he Court notes that the referral of the said question </w:t>
      </w:r>
      <w:r w:rsidR="00977E2B" w:rsidRPr="00B23DEB">
        <w:t>had no practical effect on</w:t>
      </w:r>
      <w:r w:rsidR="00085D73" w:rsidRPr="00B23DEB">
        <w:t xml:space="preserve"> the </w:t>
      </w:r>
      <w:r w:rsidR="00977B32" w:rsidRPr="00B23DEB">
        <w:t>execution of the prosecutor</w:t>
      </w:r>
      <w:r w:rsidR="00B23DEB" w:rsidRPr="00B23DEB">
        <w:t>’</w:t>
      </w:r>
      <w:r w:rsidR="00977B32" w:rsidRPr="00B23DEB">
        <w:t>s decision ordering the exhumation of the remains</w:t>
      </w:r>
      <w:r w:rsidR="00C0055C" w:rsidRPr="00B23DEB">
        <w:t xml:space="preserve"> of the</w:t>
      </w:r>
      <w:r w:rsidR="003E6DF3" w:rsidRPr="00B23DEB">
        <w:t xml:space="preserve"> applicants</w:t>
      </w:r>
      <w:r w:rsidR="00B23DEB" w:rsidRPr="00B23DEB">
        <w:t>’</w:t>
      </w:r>
      <w:r w:rsidR="003E6DF3" w:rsidRPr="00B23DEB">
        <w:t xml:space="preserve"> </w:t>
      </w:r>
      <w:r w:rsidR="00C0055C" w:rsidRPr="00B23DEB">
        <w:t>deceased husbands</w:t>
      </w:r>
      <w:r w:rsidR="00977B32" w:rsidRPr="00B23DEB">
        <w:t xml:space="preserve">. </w:t>
      </w:r>
      <w:r w:rsidR="00085D73" w:rsidRPr="00B23DEB">
        <w:t>In particular, it did not lead to a suspension of the prosecutor</w:t>
      </w:r>
      <w:r w:rsidR="00B23DEB" w:rsidRPr="00B23DEB">
        <w:t>’</w:t>
      </w:r>
      <w:r w:rsidR="00085D73" w:rsidRPr="00B23DEB">
        <w:t xml:space="preserve">s decision with regard to the applicants. </w:t>
      </w:r>
      <w:r w:rsidR="00E24281" w:rsidRPr="00B23DEB">
        <w:t xml:space="preserve">The referral of the legal question suspended only the </w:t>
      </w:r>
      <w:r w:rsidR="00085D73" w:rsidRPr="00B23DEB">
        <w:t>examination</w:t>
      </w:r>
      <w:r w:rsidR="00E24281" w:rsidRPr="00B23DEB">
        <w:t xml:space="preserve"> of the applicants</w:t>
      </w:r>
      <w:r w:rsidR="00B23DEB" w:rsidRPr="00B23DEB">
        <w:t>’</w:t>
      </w:r>
      <w:r w:rsidR="00E24281" w:rsidRPr="00B23DEB">
        <w:t xml:space="preserve"> interlocutory appeal by the Warsaw Regional Court. </w:t>
      </w:r>
      <w:r w:rsidR="00242111" w:rsidRPr="00B23DEB">
        <w:t xml:space="preserve">The exhumations were carried out </w:t>
      </w:r>
      <w:r w:rsidR="00977E2B" w:rsidRPr="00B23DEB">
        <w:t>regardless of the proceedings pending before the Constitutional Court.</w:t>
      </w:r>
    </w:p>
    <w:p w:rsidR="00181422" w:rsidRPr="00B23DEB" w:rsidRDefault="00E55822" w:rsidP="00B23DEB">
      <w:pPr>
        <w:pStyle w:val="ECHRPara"/>
        <w:rPr>
          <w:lang w:val="en-US"/>
        </w:rPr>
      </w:pPr>
      <w:r w:rsidRPr="00B23DEB">
        <w:fldChar w:fldCharType="begin"/>
      </w:r>
      <w:r w:rsidRPr="00B23DEB">
        <w:instrText xml:space="preserve"> SEQ level0 \*arabic </w:instrText>
      </w:r>
      <w:r w:rsidRPr="00B23DEB">
        <w:fldChar w:fldCharType="separate"/>
      </w:r>
      <w:r w:rsidR="006549E3">
        <w:rPr>
          <w:noProof/>
        </w:rPr>
        <w:t>69</w:t>
      </w:r>
      <w:r w:rsidRPr="00B23DEB">
        <w:rPr>
          <w:noProof/>
        </w:rPr>
        <w:fldChar w:fldCharType="end"/>
      </w:r>
      <w:r w:rsidR="00977E2B" w:rsidRPr="00B23DEB">
        <w:t>.  </w:t>
      </w:r>
      <w:r w:rsidR="00E1524E" w:rsidRPr="00B23DEB">
        <w:rPr>
          <w:bCs/>
          <w:lang w:val="en-US"/>
        </w:rPr>
        <w:t>Therefore, the Court finds that the applicants have established that the remedy advanced by the Government was in fact inadequate and ineffective, having regard to the particular circumstances of the case, and that they were accordingly absolved from the requirement to await the outcome of the constitut</w:t>
      </w:r>
      <w:r w:rsidR="009E7B7C" w:rsidRPr="00B23DEB">
        <w:rPr>
          <w:bCs/>
          <w:lang w:val="en-US"/>
        </w:rPr>
        <w:t>ional referral proceedings (see </w:t>
      </w:r>
      <w:r w:rsidR="009E7B7C" w:rsidRPr="00B23DEB">
        <w:rPr>
          <w:bCs/>
          <w:i/>
          <w:iCs/>
          <w:lang w:val="en-US"/>
        </w:rPr>
        <w:t>Vučković and </w:t>
      </w:r>
      <w:r w:rsidR="00E1524E" w:rsidRPr="00B23DEB">
        <w:rPr>
          <w:bCs/>
          <w:i/>
          <w:iCs/>
          <w:lang w:val="en-US"/>
        </w:rPr>
        <w:t>Others</w:t>
      </w:r>
      <w:r w:rsidR="00E1524E" w:rsidRPr="00B23DEB">
        <w:rPr>
          <w:bCs/>
          <w:lang w:val="en-US"/>
        </w:rPr>
        <w:t>, cited above, § 77).</w:t>
      </w:r>
    </w:p>
    <w:p w:rsidR="00181422" w:rsidRPr="00B23DEB" w:rsidRDefault="00E55822" w:rsidP="00B23DEB">
      <w:pPr>
        <w:pStyle w:val="ECHRPara"/>
      </w:pPr>
      <w:r w:rsidRPr="00B23DEB">
        <w:fldChar w:fldCharType="begin"/>
      </w:r>
      <w:r w:rsidRPr="00B23DEB">
        <w:instrText xml:space="preserve"> SEQ level0 \*arabic </w:instrText>
      </w:r>
      <w:r w:rsidRPr="00B23DEB">
        <w:fldChar w:fldCharType="separate"/>
      </w:r>
      <w:r w:rsidR="006549E3">
        <w:rPr>
          <w:noProof/>
        </w:rPr>
        <w:t>70</w:t>
      </w:r>
      <w:r w:rsidRPr="00B23DEB">
        <w:rPr>
          <w:noProof/>
        </w:rPr>
        <w:fldChar w:fldCharType="end"/>
      </w:r>
      <w:r w:rsidR="00B84ECE" w:rsidRPr="00B23DEB">
        <w:t xml:space="preserve">.  Having regard to this conclusion, the Court does not consider it necessary to examine </w:t>
      </w:r>
      <w:r w:rsidR="003E6DF3" w:rsidRPr="00B23DEB">
        <w:t xml:space="preserve">in the instant case </w:t>
      </w:r>
      <w:r w:rsidR="00B84ECE" w:rsidRPr="00B23DEB">
        <w:t>the applicants</w:t>
      </w:r>
      <w:r w:rsidR="00B23DEB" w:rsidRPr="00B23DEB">
        <w:t>’</w:t>
      </w:r>
      <w:r w:rsidR="00B84ECE" w:rsidRPr="00B23DEB">
        <w:t xml:space="preserve"> arguments relating to the </w:t>
      </w:r>
      <w:r w:rsidR="005C2985" w:rsidRPr="00B23DEB">
        <w:t xml:space="preserve">alleged </w:t>
      </w:r>
      <w:r w:rsidR="00B84ECE" w:rsidRPr="00B23DEB">
        <w:t xml:space="preserve">lack of </w:t>
      </w:r>
      <w:r w:rsidR="00F33613" w:rsidRPr="00B23DEB">
        <w:t>effectiveness and independence of the Constitutional Court.</w:t>
      </w:r>
    </w:p>
    <w:p w:rsidR="00181422" w:rsidRPr="00B23DEB" w:rsidRDefault="00E55822" w:rsidP="00B23DEB">
      <w:pPr>
        <w:pStyle w:val="ECHRPara"/>
      </w:pPr>
      <w:r w:rsidRPr="00B23DEB">
        <w:fldChar w:fldCharType="begin"/>
      </w:r>
      <w:r w:rsidRPr="00B23DEB">
        <w:instrText xml:space="preserve"> SEQ level0 \*arabic </w:instrText>
      </w:r>
      <w:r w:rsidRPr="00B23DEB">
        <w:fldChar w:fldCharType="separate"/>
      </w:r>
      <w:r w:rsidR="006549E3">
        <w:rPr>
          <w:noProof/>
        </w:rPr>
        <w:t>71</w:t>
      </w:r>
      <w:r w:rsidRPr="00B23DEB">
        <w:rPr>
          <w:noProof/>
        </w:rPr>
        <w:fldChar w:fldCharType="end"/>
      </w:r>
      <w:r w:rsidR="00B84ECE" w:rsidRPr="00B23DEB">
        <w:t xml:space="preserve">.  It follows that the </w:t>
      </w:r>
      <w:r w:rsidR="005C2985" w:rsidRPr="00B23DEB">
        <w:t xml:space="preserve">objection raised by the </w:t>
      </w:r>
      <w:r w:rsidR="00B84ECE" w:rsidRPr="00B23DEB">
        <w:t>Government</w:t>
      </w:r>
      <w:r w:rsidR="005C2985" w:rsidRPr="00B23DEB">
        <w:t xml:space="preserve"> must be dismissed.</w:t>
      </w:r>
    </w:p>
    <w:p w:rsidR="00C64785" w:rsidRPr="00B23DEB" w:rsidRDefault="00E941D8" w:rsidP="00B23DEB">
      <w:pPr>
        <w:pStyle w:val="ECHRPara"/>
      </w:pPr>
      <w:r w:rsidRPr="00B23DEB">
        <w:fldChar w:fldCharType="begin"/>
      </w:r>
      <w:r w:rsidRPr="00B23DEB">
        <w:instrText xml:space="preserve"> SEQ level0 \*arabic </w:instrText>
      </w:r>
      <w:r w:rsidRPr="00B23DEB">
        <w:fldChar w:fldCharType="separate"/>
      </w:r>
      <w:r w:rsidR="006549E3">
        <w:rPr>
          <w:noProof/>
        </w:rPr>
        <w:t>72</w:t>
      </w:r>
      <w:r w:rsidRPr="00B23DEB">
        <w:fldChar w:fldCharType="end"/>
      </w:r>
      <w:r w:rsidR="00642C37" w:rsidRPr="00B23DEB">
        <w:t>.  The Court notes that this complaint is not manifestly ill-founded within the meaning of Article 35 § 3 (a) of the Convention. It further notes that it is not inadmissible on any other grounds. It must therefore be declared admissible.</w:t>
      </w:r>
    </w:p>
    <w:p w:rsidR="00C64785" w:rsidRPr="00B23DEB" w:rsidRDefault="00642C37" w:rsidP="00B23DEB">
      <w:pPr>
        <w:pStyle w:val="ECHRHeading2"/>
      </w:pPr>
      <w:r w:rsidRPr="00B23DEB">
        <w:t>B.  Merits</w:t>
      </w:r>
    </w:p>
    <w:p w:rsidR="007A7A22" w:rsidRPr="00B23DEB" w:rsidRDefault="00C7382B" w:rsidP="00B23DEB">
      <w:pPr>
        <w:pStyle w:val="ECHRHeading3"/>
      </w:pPr>
      <w:r w:rsidRPr="00B23DEB">
        <w:t>1.  </w:t>
      </w:r>
      <w:r w:rsidR="007A7A22" w:rsidRPr="00B23DEB">
        <w:t>The applicants</w:t>
      </w:r>
      <w:r w:rsidR="00B23DEB" w:rsidRPr="00B23DEB">
        <w:t>’</w:t>
      </w:r>
      <w:r w:rsidR="007A7A22" w:rsidRPr="00B23DEB">
        <w:t xml:space="preserve"> submissions</w:t>
      </w:r>
    </w:p>
    <w:p w:rsidR="00181422" w:rsidRPr="00B23DEB" w:rsidRDefault="00242111" w:rsidP="00B23DEB">
      <w:pPr>
        <w:pStyle w:val="ECHRPara"/>
      </w:pPr>
      <w:r w:rsidRPr="00B23DEB">
        <w:fldChar w:fldCharType="begin"/>
      </w:r>
      <w:r w:rsidRPr="00B23DEB">
        <w:instrText xml:space="preserve"> SEQ level0 \*arabic </w:instrText>
      </w:r>
      <w:r w:rsidRPr="00B23DEB">
        <w:fldChar w:fldCharType="separate"/>
      </w:r>
      <w:r w:rsidR="006549E3">
        <w:rPr>
          <w:noProof/>
        </w:rPr>
        <w:t>73</w:t>
      </w:r>
      <w:r w:rsidRPr="00B23DEB">
        <w:fldChar w:fldCharType="end"/>
      </w:r>
      <w:r w:rsidRPr="00B23DEB">
        <w:t>.  </w:t>
      </w:r>
      <w:r w:rsidR="00642C37" w:rsidRPr="00B23DEB">
        <w:t>The applicant</w:t>
      </w:r>
      <w:r w:rsidR="00E941D8" w:rsidRPr="00B23DEB">
        <w:t>s</w:t>
      </w:r>
      <w:r w:rsidR="00642C37" w:rsidRPr="00B23DEB">
        <w:t xml:space="preserve"> </w:t>
      </w:r>
      <w:r w:rsidR="0057516D" w:rsidRPr="00B23DEB">
        <w:t xml:space="preserve">noted that there was no dispute between the parties that the right to respect for the memory of a deceased family member </w:t>
      </w:r>
      <w:r w:rsidR="00702A8C" w:rsidRPr="00B23DEB">
        <w:t xml:space="preserve">fell within the scope </w:t>
      </w:r>
      <w:r w:rsidR="0057516D" w:rsidRPr="00B23DEB">
        <w:t>of Article 8 § 1</w:t>
      </w:r>
      <w:r w:rsidR="00625116" w:rsidRPr="00B23DEB">
        <w:t xml:space="preserve"> of the Convention</w:t>
      </w:r>
      <w:r w:rsidR="0057516D" w:rsidRPr="00B23DEB">
        <w:t>. Th</w:t>
      </w:r>
      <w:r w:rsidR="00C50812" w:rsidRPr="00B23DEB">
        <w:t>at</w:t>
      </w:r>
      <w:r w:rsidR="0057516D" w:rsidRPr="00B23DEB">
        <w:t xml:space="preserve"> conclusion was supported by the well-established case-law of the Court </w:t>
      </w:r>
      <w:r w:rsidR="00625116" w:rsidRPr="00B23DEB">
        <w:t>in cases such as, for example,</w:t>
      </w:r>
      <w:r w:rsidR="00181422" w:rsidRPr="00B23DEB">
        <w:t xml:space="preserve"> </w:t>
      </w:r>
      <w:r w:rsidR="00AC1319" w:rsidRPr="00B23DEB">
        <w:rPr>
          <w:i/>
          <w:lang w:val="en-US"/>
        </w:rPr>
        <w:t>Pannullo and Forte v. France</w:t>
      </w:r>
      <w:r w:rsidR="00AC1319" w:rsidRPr="00B23DEB">
        <w:rPr>
          <w:lang w:val="en-US"/>
        </w:rPr>
        <w:t xml:space="preserve"> </w:t>
      </w:r>
      <w:r w:rsidR="00625116" w:rsidRPr="00B23DEB">
        <w:rPr>
          <w:lang w:val="en-US"/>
        </w:rPr>
        <w:t>(</w:t>
      </w:r>
      <w:r w:rsidR="00AC1319" w:rsidRPr="00B23DEB">
        <w:rPr>
          <w:lang w:val="en-US"/>
        </w:rPr>
        <w:t>no. 37794/97, ECHR 2001</w:t>
      </w:r>
      <w:r w:rsidR="00AC1319" w:rsidRPr="00B23DEB">
        <w:rPr>
          <w:lang w:val="en-US"/>
        </w:rPr>
        <w:noBreakHyphen/>
        <w:t>X</w:t>
      </w:r>
      <w:r w:rsidR="00625116" w:rsidRPr="00B23DEB">
        <w:rPr>
          <w:lang w:val="en-US"/>
        </w:rPr>
        <w:t>),</w:t>
      </w:r>
      <w:r w:rsidR="00AC1319" w:rsidRPr="00B23DEB">
        <w:rPr>
          <w:lang w:val="en-US"/>
        </w:rPr>
        <w:t xml:space="preserve"> </w:t>
      </w:r>
      <w:r w:rsidR="00AC1319" w:rsidRPr="00B23DEB">
        <w:rPr>
          <w:i/>
        </w:rPr>
        <w:t xml:space="preserve">Estate of Kresten Filtenborg Mortensen v. Denmark </w:t>
      </w:r>
      <w:r w:rsidR="00625116" w:rsidRPr="00B23DEB">
        <w:t>(</w:t>
      </w:r>
      <w:r w:rsidR="00AC1319" w:rsidRPr="00B23DEB">
        <w:t>(dec.), no.</w:t>
      </w:r>
      <w:r w:rsidR="009C5CE2" w:rsidRPr="00B23DEB">
        <w:t> </w:t>
      </w:r>
      <w:r w:rsidR="00AC1319" w:rsidRPr="00B23DEB">
        <w:t>1338/03, ECHR 2006</w:t>
      </w:r>
      <w:r w:rsidR="00AC1319" w:rsidRPr="00B23DEB">
        <w:noBreakHyphen/>
        <w:t>V</w:t>
      </w:r>
      <w:r w:rsidR="00625116" w:rsidRPr="00B23DEB">
        <w:t>),</w:t>
      </w:r>
      <w:r w:rsidR="00AC1319" w:rsidRPr="00B23DEB">
        <w:t xml:space="preserve"> </w:t>
      </w:r>
      <w:r w:rsidR="00AC1319" w:rsidRPr="00B23DEB">
        <w:rPr>
          <w:i/>
        </w:rPr>
        <w:t>Hadri-Vionnet v. Switzerland</w:t>
      </w:r>
      <w:r w:rsidR="00AC1319" w:rsidRPr="00B23DEB">
        <w:t xml:space="preserve"> </w:t>
      </w:r>
      <w:r w:rsidR="00625116" w:rsidRPr="00B23DEB">
        <w:t>(</w:t>
      </w:r>
      <w:r w:rsidR="00AC1319" w:rsidRPr="00B23DEB">
        <w:t>no. 55525/00, 14 February 2008</w:t>
      </w:r>
      <w:r w:rsidR="00625116" w:rsidRPr="00B23DEB">
        <w:t>),</w:t>
      </w:r>
      <w:r w:rsidR="00AC1319" w:rsidRPr="00B23DEB">
        <w:t xml:space="preserve"> </w:t>
      </w:r>
      <w:r w:rsidR="00AC1319" w:rsidRPr="00B23DEB">
        <w:rPr>
          <w:i/>
          <w:lang w:val="en-US"/>
        </w:rPr>
        <w:t>Girard v. France</w:t>
      </w:r>
      <w:r w:rsidR="00AC1319" w:rsidRPr="00B23DEB">
        <w:rPr>
          <w:lang w:val="en-US"/>
        </w:rPr>
        <w:t xml:space="preserve"> </w:t>
      </w:r>
      <w:r w:rsidR="00625116" w:rsidRPr="00B23DEB">
        <w:rPr>
          <w:lang w:val="en-US"/>
        </w:rPr>
        <w:t>(</w:t>
      </w:r>
      <w:r w:rsidR="00AC1319" w:rsidRPr="00B23DEB">
        <w:rPr>
          <w:lang w:val="en-US"/>
        </w:rPr>
        <w:t xml:space="preserve">no. </w:t>
      </w:r>
      <w:r w:rsidR="00AC1319" w:rsidRPr="00B23DEB">
        <w:t>22590/04, 30 June 2011</w:t>
      </w:r>
      <w:r w:rsidR="00625116" w:rsidRPr="00B23DEB">
        <w:t>) and</w:t>
      </w:r>
      <w:r w:rsidR="00AC1319" w:rsidRPr="00B23DEB">
        <w:t xml:space="preserve"> </w:t>
      </w:r>
      <w:r w:rsidR="00AC1319" w:rsidRPr="00B23DEB">
        <w:rPr>
          <w:i/>
        </w:rPr>
        <w:t>Elberte v. Latvia</w:t>
      </w:r>
      <w:r w:rsidR="00AC1319" w:rsidRPr="00B23DEB">
        <w:t xml:space="preserve"> </w:t>
      </w:r>
      <w:r w:rsidR="00625116" w:rsidRPr="00B23DEB">
        <w:t>(</w:t>
      </w:r>
      <w:r w:rsidR="009C5CE2" w:rsidRPr="00B23DEB">
        <w:t>no. </w:t>
      </w:r>
      <w:r w:rsidR="00AC1319" w:rsidRPr="00B23DEB">
        <w:t xml:space="preserve">61243/08, ECHR 2015). </w:t>
      </w:r>
      <w:r w:rsidR="00F40CC1" w:rsidRPr="00B23DEB">
        <w:t>However, contrary to the Government</w:t>
      </w:r>
      <w:r w:rsidR="00B23DEB" w:rsidRPr="00B23DEB">
        <w:t>’</w:t>
      </w:r>
      <w:r w:rsidR="00F40CC1" w:rsidRPr="00B23DEB">
        <w:t xml:space="preserve">s position, the applicants believed that the right at issue should be considered part of family life </w:t>
      </w:r>
      <w:r w:rsidR="00702A8C" w:rsidRPr="00B23DEB">
        <w:t xml:space="preserve">rather </w:t>
      </w:r>
      <w:r w:rsidR="00F40CC1" w:rsidRPr="00B23DEB">
        <w:t>than private life</w:t>
      </w:r>
      <w:r w:rsidR="000C4E50" w:rsidRPr="00B23DEB">
        <w:t>,</w:t>
      </w:r>
      <w:r w:rsidR="00F40CC1" w:rsidRPr="00B23DEB">
        <w:t xml:space="preserve"> as it was closely connected to the relations</w:t>
      </w:r>
      <w:r w:rsidR="000C4E50" w:rsidRPr="00B23DEB">
        <w:t>hip</w:t>
      </w:r>
      <w:r w:rsidR="00F40CC1" w:rsidRPr="00B23DEB">
        <w:t xml:space="preserve"> between family members</w:t>
      </w:r>
      <w:r w:rsidR="00C50812" w:rsidRPr="00B23DEB">
        <w:t xml:space="preserve"> and</w:t>
      </w:r>
      <w:r w:rsidR="00F40CC1" w:rsidRPr="00B23DEB">
        <w:t xml:space="preserve"> their strong emotional bonds</w:t>
      </w:r>
      <w:r w:rsidR="00C50812" w:rsidRPr="00B23DEB">
        <w:t>.</w:t>
      </w:r>
      <w:r w:rsidR="00181422" w:rsidRPr="00B23DEB">
        <w:t xml:space="preserve"> </w:t>
      </w:r>
      <w:r w:rsidR="001F6BF6" w:rsidRPr="00B23DEB">
        <w:t xml:space="preserve">They referred to </w:t>
      </w:r>
      <w:r w:rsidR="00C50812" w:rsidRPr="00B23DEB">
        <w:t xml:space="preserve">previous </w:t>
      </w:r>
      <w:r w:rsidR="001F6BF6" w:rsidRPr="00B23DEB">
        <w:t xml:space="preserve">cases in which the Court </w:t>
      </w:r>
      <w:r w:rsidR="000C4E50" w:rsidRPr="00B23DEB">
        <w:t xml:space="preserve">had </w:t>
      </w:r>
      <w:r w:rsidR="001F6BF6" w:rsidRPr="00B23DEB">
        <w:t xml:space="preserve">ruled that various measures undertaken by the authorities with regard to the remains of persons close to the applicants had interfered with the </w:t>
      </w:r>
      <w:r w:rsidR="000C4E50" w:rsidRPr="00B23DEB">
        <w:t>latter</w:t>
      </w:r>
      <w:r w:rsidR="00B23DEB" w:rsidRPr="00B23DEB">
        <w:t>’</w:t>
      </w:r>
      <w:r w:rsidR="000C4E50" w:rsidRPr="00B23DEB">
        <w:t xml:space="preserve">s </w:t>
      </w:r>
      <w:r w:rsidR="001F6BF6" w:rsidRPr="00B23DEB">
        <w:t xml:space="preserve">right to </w:t>
      </w:r>
      <w:r w:rsidR="00A658CC" w:rsidRPr="00B23DEB">
        <w:t xml:space="preserve">private </w:t>
      </w:r>
      <w:r w:rsidR="001F6BF6" w:rsidRPr="00B23DEB">
        <w:t xml:space="preserve">and family life. </w:t>
      </w:r>
      <w:r w:rsidR="00C50812" w:rsidRPr="00B23DEB">
        <w:t>To date, t</w:t>
      </w:r>
      <w:r w:rsidR="001F6BF6" w:rsidRPr="00B23DEB">
        <w:t>he Court ha</w:t>
      </w:r>
      <w:r w:rsidR="000C4E50" w:rsidRPr="00B23DEB">
        <w:t>d</w:t>
      </w:r>
      <w:r w:rsidR="001F6BF6" w:rsidRPr="00B23DEB">
        <w:t xml:space="preserve"> never ruled </w:t>
      </w:r>
      <w:r w:rsidR="00C50812" w:rsidRPr="00B23DEB">
        <w:t>on</w:t>
      </w:r>
      <w:r w:rsidR="009D6948" w:rsidRPr="00B23DEB">
        <w:t xml:space="preserve"> a case </w:t>
      </w:r>
      <w:r w:rsidR="000C4E50" w:rsidRPr="00B23DEB">
        <w:t xml:space="preserve">involving </w:t>
      </w:r>
      <w:r w:rsidR="009D6948" w:rsidRPr="00B23DEB">
        <w:t xml:space="preserve">the question of exhumation against the will of the </w:t>
      </w:r>
      <w:r w:rsidR="000C4E50" w:rsidRPr="00B23DEB">
        <w:t>deceased</w:t>
      </w:r>
      <w:r w:rsidR="00B23DEB" w:rsidRPr="00B23DEB">
        <w:t>’</w:t>
      </w:r>
      <w:r w:rsidR="000C4E50" w:rsidRPr="00B23DEB">
        <w:t xml:space="preserve">s </w:t>
      </w:r>
      <w:r w:rsidR="009D6948" w:rsidRPr="00B23DEB">
        <w:t xml:space="preserve">family. However, the applicants </w:t>
      </w:r>
      <w:r w:rsidR="00082650" w:rsidRPr="00B23DEB">
        <w:t xml:space="preserve">saw no reason to distinguish their case from the above-mentioned judgments regarding </w:t>
      </w:r>
      <w:r w:rsidR="000C4E50" w:rsidRPr="00B23DEB">
        <w:t xml:space="preserve">the </w:t>
      </w:r>
      <w:r w:rsidR="00082650" w:rsidRPr="00B23DEB">
        <w:t>relation</w:t>
      </w:r>
      <w:r w:rsidR="00702A8C" w:rsidRPr="00B23DEB">
        <w:t xml:space="preserve">ship </w:t>
      </w:r>
      <w:r w:rsidR="000C4E50" w:rsidRPr="00B23DEB">
        <w:t xml:space="preserve">between </w:t>
      </w:r>
      <w:r w:rsidR="00082650" w:rsidRPr="00B23DEB">
        <w:t xml:space="preserve">individuals and </w:t>
      </w:r>
      <w:r w:rsidR="00C50812" w:rsidRPr="00B23DEB">
        <w:t xml:space="preserve">the remains of </w:t>
      </w:r>
      <w:r w:rsidR="00082650" w:rsidRPr="00B23DEB">
        <w:t>their close relatives.</w:t>
      </w:r>
    </w:p>
    <w:p w:rsidR="00181422" w:rsidRPr="00B23DEB" w:rsidRDefault="00566BAA" w:rsidP="00B23DEB">
      <w:pPr>
        <w:pStyle w:val="ECHRPara"/>
      </w:pPr>
      <w:r w:rsidRPr="00B23DEB">
        <w:fldChar w:fldCharType="begin"/>
      </w:r>
      <w:r w:rsidRPr="00B23DEB">
        <w:instrText xml:space="preserve"> SEQ level0 \*arabic </w:instrText>
      </w:r>
      <w:r w:rsidRPr="00B23DEB">
        <w:fldChar w:fldCharType="separate"/>
      </w:r>
      <w:r w:rsidR="006549E3">
        <w:rPr>
          <w:noProof/>
        </w:rPr>
        <w:t>74</w:t>
      </w:r>
      <w:r w:rsidRPr="00B23DEB">
        <w:fldChar w:fldCharType="end"/>
      </w:r>
      <w:r w:rsidRPr="00B23DEB">
        <w:t xml:space="preserve">.  There was no doubt that </w:t>
      </w:r>
      <w:r w:rsidR="000C4E50" w:rsidRPr="00B23DEB">
        <w:t xml:space="preserve">the </w:t>
      </w:r>
      <w:r w:rsidRPr="00B23DEB">
        <w:t>exhumation carried out pursuant to the prosecutor</w:t>
      </w:r>
      <w:r w:rsidR="00B23DEB" w:rsidRPr="00B23DEB">
        <w:t>’</w:t>
      </w:r>
      <w:r w:rsidRPr="00B23DEB">
        <w:t>s decision of 7 October 2016 constituted an interference with the</w:t>
      </w:r>
      <w:r w:rsidR="00C50812" w:rsidRPr="00B23DEB">
        <w:t>ir</w:t>
      </w:r>
      <w:r w:rsidRPr="00B23DEB">
        <w:t xml:space="preserve"> right to respect for the memory of a deceased family member, and thus with </w:t>
      </w:r>
      <w:r w:rsidR="00C50812" w:rsidRPr="00B23DEB">
        <w:t xml:space="preserve">their rights under </w:t>
      </w:r>
      <w:r w:rsidRPr="00B23DEB">
        <w:t xml:space="preserve">Article 8 of the Convention. </w:t>
      </w:r>
      <w:r w:rsidR="00CD4672" w:rsidRPr="00B23DEB">
        <w:t>Referring to the Government</w:t>
      </w:r>
      <w:r w:rsidR="00B23DEB" w:rsidRPr="00B23DEB">
        <w:t>’</w:t>
      </w:r>
      <w:r w:rsidR="00CD4672" w:rsidRPr="00B23DEB">
        <w:t xml:space="preserve">s argument that the prosecutor would issue a separate order specifying the exact date of each exhumation, the applicants maintained that this </w:t>
      </w:r>
      <w:r w:rsidR="003053EB" w:rsidRPr="00B23DEB">
        <w:t xml:space="preserve">had been </w:t>
      </w:r>
      <w:r w:rsidR="00CD4672" w:rsidRPr="00B23DEB">
        <w:t>merely a formality, since the issue of exhumation had been predetermined by the prosecutor</w:t>
      </w:r>
      <w:r w:rsidR="00B23DEB" w:rsidRPr="00B23DEB">
        <w:t>’</w:t>
      </w:r>
      <w:r w:rsidR="00CD4672" w:rsidRPr="00B23DEB">
        <w:t xml:space="preserve">s decision of 7 October 2016. </w:t>
      </w:r>
      <w:r w:rsidR="009E7B7C" w:rsidRPr="00B23DEB">
        <w:t>The </w:t>
      </w:r>
      <w:r w:rsidR="00B13980" w:rsidRPr="00B23DEB">
        <w:t>prosecutor</w:t>
      </w:r>
      <w:r w:rsidR="00B23DEB" w:rsidRPr="00B23DEB">
        <w:t>’</w:t>
      </w:r>
      <w:r w:rsidR="00B13980" w:rsidRPr="00B23DEB">
        <w:t xml:space="preserve">s </w:t>
      </w:r>
      <w:r w:rsidR="004A614C" w:rsidRPr="00B23DEB">
        <w:t xml:space="preserve">orders </w:t>
      </w:r>
      <w:r w:rsidR="00B13980" w:rsidRPr="00B23DEB">
        <w:t xml:space="preserve">of 13 April 2018 setting the date of </w:t>
      </w:r>
      <w:r w:rsidR="005F3177" w:rsidRPr="00B23DEB">
        <w:t xml:space="preserve">the </w:t>
      </w:r>
      <w:r w:rsidR="00B13980" w:rsidRPr="00B23DEB">
        <w:t xml:space="preserve">exhumations for 14 and 16 May 2018 respectively stated that they were </w:t>
      </w:r>
      <w:r w:rsidR="00C50812" w:rsidRPr="00B23DEB">
        <w:t xml:space="preserve">being </w:t>
      </w:r>
      <w:r w:rsidR="00D516E0" w:rsidRPr="00B23DEB">
        <w:t xml:space="preserve">issued </w:t>
      </w:r>
      <w:r w:rsidR="00B13980" w:rsidRPr="00B23DEB">
        <w:t>in execution of the previous decision of 7 October 2016. Th</w:t>
      </w:r>
      <w:r w:rsidR="00EB5051" w:rsidRPr="00B23DEB">
        <w:t xml:space="preserve">is confirmed the </w:t>
      </w:r>
      <w:r w:rsidR="00702A8C" w:rsidRPr="00B23DEB">
        <w:t xml:space="preserve">conclusive </w:t>
      </w:r>
      <w:r w:rsidR="00EB5051" w:rsidRPr="00B23DEB">
        <w:t xml:space="preserve">nature of the </w:t>
      </w:r>
      <w:r w:rsidR="00B13980" w:rsidRPr="00B23DEB">
        <w:t xml:space="preserve">decision </w:t>
      </w:r>
      <w:r w:rsidR="00EB5051" w:rsidRPr="00B23DEB">
        <w:t>of 7 October 2016.</w:t>
      </w:r>
    </w:p>
    <w:p w:rsidR="00181422" w:rsidRPr="00B23DEB" w:rsidRDefault="00985C13" w:rsidP="00B23DEB">
      <w:pPr>
        <w:pStyle w:val="ECHRPara"/>
      </w:pPr>
      <w:r w:rsidRPr="00B23DEB">
        <w:fldChar w:fldCharType="begin"/>
      </w:r>
      <w:r w:rsidRPr="00B23DEB">
        <w:instrText xml:space="preserve"> SEQ level0 \*arabic </w:instrText>
      </w:r>
      <w:r w:rsidRPr="00B23DEB">
        <w:fldChar w:fldCharType="separate"/>
      </w:r>
      <w:r w:rsidR="006549E3">
        <w:rPr>
          <w:noProof/>
        </w:rPr>
        <w:t>75</w:t>
      </w:r>
      <w:r w:rsidRPr="00B23DEB">
        <w:fldChar w:fldCharType="end"/>
      </w:r>
      <w:r w:rsidRPr="00B23DEB">
        <w:t>.  </w:t>
      </w:r>
      <w:r w:rsidR="00017CF4" w:rsidRPr="00B23DEB">
        <w:t xml:space="preserve">The applicants argued that the </w:t>
      </w:r>
      <w:r w:rsidR="00B80AD8" w:rsidRPr="00B23DEB">
        <w:t>interference</w:t>
      </w:r>
      <w:r w:rsidR="00017CF4" w:rsidRPr="00B23DEB">
        <w:t xml:space="preserve"> at issue had not been </w:t>
      </w:r>
      <w:r w:rsidR="000D7F8D" w:rsidRPr="00B23DEB">
        <w:t>carried out “in accordance with the law”</w:t>
      </w:r>
      <w:r w:rsidR="002B5D29" w:rsidRPr="00B23DEB">
        <w:t xml:space="preserve">. </w:t>
      </w:r>
      <w:r w:rsidR="0035308A" w:rsidRPr="00B23DEB">
        <w:t>T</w:t>
      </w:r>
      <w:r w:rsidRPr="00B23DEB">
        <w:t>he prosecutor</w:t>
      </w:r>
      <w:r w:rsidR="00B23DEB" w:rsidRPr="00B23DEB">
        <w:t>’</w:t>
      </w:r>
      <w:r w:rsidRPr="00B23DEB">
        <w:t xml:space="preserve">s decision </w:t>
      </w:r>
      <w:r w:rsidR="00C7382B" w:rsidRPr="00B23DEB">
        <w:t>of 7 </w:t>
      </w:r>
      <w:r w:rsidR="00702A8C" w:rsidRPr="00B23DEB">
        <w:t xml:space="preserve">October 2016 </w:t>
      </w:r>
      <w:r w:rsidRPr="00B23DEB">
        <w:t xml:space="preserve">had </w:t>
      </w:r>
      <w:r w:rsidR="005F3177" w:rsidRPr="00B23DEB">
        <w:t xml:space="preserve">a </w:t>
      </w:r>
      <w:r w:rsidRPr="00B23DEB">
        <w:t xml:space="preserve">legal basis in domestic law, namely the CCP. However, the mere existence of </w:t>
      </w:r>
      <w:r w:rsidR="00C50812" w:rsidRPr="00B23DEB">
        <w:t xml:space="preserve">a </w:t>
      </w:r>
      <w:r w:rsidRPr="00B23DEB">
        <w:t xml:space="preserve">legal basis for </w:t>
      </w:r>
      <w:r w:rsidR="00045CC4" w:rsidRPr="00B23DEB">
        <w:t>interference</w:t>
      </w:r>
      <w:r w:rsidRPr="00B23DEB">
        <w:t xml:space="preserve"> was not sufficient to satisfy the requirement of lawfulness</w:t>
      </w:r>
      <w:r w:rsidR="005F3177" w:rsidRPr="00B23DEB">
        <w:t>,</w:t>
      </w:r>
      <w:r w:rsidR="00045CC4" w:rsidRPr="00B23DEB">
        <w:t xml:space="preserve"> and the law </w:t>
      </w:r>
      <w:r w:rsidR="002B5D29" w:rsidRPr="00B23DEB">
        <w:t xml:space="preserve">had to meet </w:t>
      </w:r>
      <w:r w:rsidR="00045CC4" w:rsidRPr="00B23DEB">
        <w:t xml:space="preserve">certain qualitative </w:t>
      </w:r>
      <w:r w:rsidR="00017CF4" w:rsidRPr="00B23DEB">
        <w:t>requirements</w:t>
      </w:r>
      <w:r w:rsidR="00045CC4" w:rsidRPr="00B23DEB">
        <w:t>.</w:t>
      </w:r>
    </w:p>
    <w:p w:rsidR="00181422" w:rsidRPr="00B23DEB" w:rsidRDefault="00045CC4" w:rsidP="00B23DEB">
      <w:pPr>
        <w:pStyle w:val="ECHRPara"/>
      </w:pPr>
      <w:r w:rsidRPr="00B23DEB">
        <w:fldChar w:fldCharType="begin"/>
      </w:r>
      <w:r w:rsidRPr="00B23DEB">
        <w:instrText xml:space="preserve"> SEQ level0 \*arabic </w:instrText>
      </w:r>
      <w:r w:rsidRPr="00B23DEB">
        <w:fldChar w:fldCharType="separate"/>
      </w:r>
      <w:r w:rsidR="006549E3">
        <w:rPr>
          <w:noProof/>
        </w:rPr>
        <w:t>76</w:t>
      </w:r>
      <w:r w:rsidRPr="00B23DEB">
        <w:fldChar w:fldCharType="end"/>
      </w:r>
      <w:r w:rsidRPr="00B23DEB">
        <w:t xml:space="preserve">.  The provisions of the CCP applicable in the present case did not provide any safeguards against arbitrariness. In particular, they did not allow the family of the deceased to appeal against </w:t>
      </w:r>
      <w:r w:rsidR="005F3177" w:rsidRPr="00B23DEB">
        <w:t xml:space="preserve">an </w:t>
      </w:r>
      <w:r w:rsidRPr="00B23DEB">
        <w:t xml:space="preserve">exhumation order to an independent court. </w:t>
      </w:r>
      <w:r w:rsidR="00507530" w:rsidRPr="00B23DEB">
        <w:t xml:space="preserve">Moreover, domestic law did not require the prosecutor to take into account the feelings and preferences of the family of a deceased person. As a consequence, the prosecutor was empowered to undertake </w:t>
      </w:r>
      <w:r w:rsidR="005F3177" w:rsidRPr="00B23DEB">
        <w:t xml:space="preserve">a measure that constituted </w:t>
      </w:r>
      <w:r w:rsidR="00507530" w:rsidRPr="00B23DEB">
        <w:t>a serious interference with the individuals</w:t>
      </w:r>
      <w:r w:rsidR="00B23DEB" w:rsidRPr="00B23DEB">
        <w:t>’</w:t>
      </w:r>
      <w:r w:rsidR="00507530" w:rsidRPr="00B23DEB">
        <w:t xml:space="preserve"> private and family life in a completely arbitrary manner. </w:t>
      </w:r>
      <w:r w:rsidR="009E7B7C" w:rsidRPr="00B23DEB">
        <w:t>The </w:t>
      </w:r>
      <w:r w:rsidR="00017CF4" w:rsidRPr="00B23DEB">
        <w:t xml:space="preserve">applicants </w:t>
      </w:r>
      <w:r w:rsidR="005F3177" w:rsidRPr="00B23DEB">
        <w:t xml:space="preserve">pointed out </w:t>
      </w:r>
      <w:r w:rsidR="00017CF4" w:rsidRPr="00B23DEB">
        <w:t xml:space="preserve">that the CCP allowed appeals to the court against certain decisions issued by </w:t>
      </w:r>
      <w:r w:rsidR="005F3177" w:rsidRPr="00B23DEB">
        <w:t xml:space="preserve">a </w:t>
      </w:r>
      <w:r w:rsidR="00017CF4" w:rsidRPr="00B23DEB">
        <w:t xml:space="preserve">prosecutor in the course of </w:t>
      </w:r>
      <w:r w:rsidR="005F3177" w:rsidRPr="00B23DEB">
        <w:t xml:space="preserve">an </w:t>
      </w:r>
      <w:r w:rsidR="00017CF4" w:rsidRPr="00B23DEB">
        <w:t xml:space="preserve">investigation. These concerned, </w:t>
      </w:r>
      <w:r w:rsidR="00017CF4" w:rsidRPr="00B23DEB">
        <w:rPr>
          <w:i/>
        </w:rPr>
        <w:t>inter alia</w:t>
      </w:r>
      <w:r w:rsidR="00017CF4" w:rsidRPr="00B23DEB">
        <w:t>, decision</w:t>
      </w:r>
      <w:r w:rsidR="005F3177" w:rsidRPr="00B23DEB">
        <w:t>s</w:t>
      </w:r>
      <w:r w:rsidR="00017CF4" w:rsidRPr="00B23DEB">
        <w:t xml:space="preserve"> </w:t>
      </w:r>
      <w:r w:rsidR="00152B7E" w:rsidRPr="00B23DEB">
        <w:t>regarding searches and seizures</w:t>
      </w:r>
      <w:r w:rsidR="00017CF4" w:rsidRPr="00B23DEB">
        <w:t>, control and recor</w:t>
      </w:r>
      <w:r w:rsidR="00152B7E" w:rsidRPr="00B23DEB">
        <w:t xml:space="preserve">ding of telephone conversations </w:t>
      </w:r>
      <w:r w:rsidR="00017CF4" w:rsidRPr="00B23DEB">
        <w:t xml:space="preserve">and preventive measures </w:t>
      </w:r>
      <w:r w:rsidR="00BC4BEC" w:rsidRPr="00B23DEB">
        <w:t>(</w:t>
      </w:r>
      <w:r w:rsidR="00152B7E" w:rsidRPr="00B23DEB">
        <w:t xml:space="preserve">see § 44 above). </w:t>
      </w:r>
      <w:r w:rsidR="00017CF4" w:rsidRPr="00B23DEB">
        <w:t>It would be difficult to justify why th</w:t>
      </w:r>
      <w:r w:rsidR="005F3177" w:rsidRPr="00B23DEB">
        <w:t>o</w:t>
      </w:r>
      <w:r w:rsidR="00017CF4" w:rsidRPr="00B23DEB">
        <w:t xml:space="preserve">se types of decisions </w:t>
      </w:r>
      <w:r w:rsidR="005F3177" w:rsidRPr="00B23DEB">
        <w:t xml:space="preserve">by a prosecutor </w:t>
      </w:r>
      <w:r w:rsidR="00017CF4" w:rsidRPr="00B23DEB">
        <w:t xml:space="preserve">could be </w:t>
      </w:r>
      <w:r w:rsidR="005F3177" w:rsidRPr="00B23DEB">
        <w:t xml:space="preserve">amenable to </w:t>
      </w:r>
      <w:r w:rsidR="009E7B7C" w:rsidRPr="00B23DEB">
        <w:t>judicial review (even </w:t>
      </w:r>
      <w:r w:rsidR="00017CF4" w:rsidRPr="00B23DEB">
        <w:t>though</w:t>
      </w:r>
      <w:r w:rsidR="005F3177" w:rsidRPr="00B23DEB">
        <w:t>,</w:t>
      </w:r>
      <w:r w:rsidR="00017CF4" w:rsidRPr="00B23DEB">
        <w:t xml:space="preserve"> as a rule</w:t>
      </w:r>
      <w:r w:rsidR="005F3177" w:rsidRPr="00B23DEB">
        <w:t>,</w:t>
      </w:r>
      <w:r w:rsidR="00017CF4" w:rsidRPr="00B23DEB">
        <w:t xml:space="preserve"> </w:t>
      </w:r>
      <w:r w:rsidR="005F3177" w:rsidRPr="00B23DEB">
        <w:t xml:space="preserve">an </w:t>
      </w:r>
      <w:r w:rsidR="00017CF4" w:rsidRPr="00B23DEB">
        <w:t xml:space="preserve">interlocutory appeal </w:t>
      </w:r>
      <w:r w:rsidR="005F3177" w:rsidRPr="00B23DEB">
        <w:t xml:space="preserve">did </w:t>
      </w:r>
      <w:r w:rsidR="00017CF4" w:rsidRPr="00B23DEB">
        <w:t xml:space="preserve">not automatically suspend the execution of a decision, but the court </w:t>
      </w:r>
      <w:r w:rsidR="005F3177" w:rsidRPr="00B23DEB">
        <w:t xml:space="preserve">could </w:t>
      </w:r>
      <w:r w:rsidR="00017CF4" w:rsidRPr="00B23DEB">
        <w:t>order suspension in particular cases – Article 462 § 1</w:t>
      </w:r>
      <w:r w:rsidR="00CB1DFA" w:rsidRPr="00B23DEB">
        <w:t xml:space="preserve"> of the CCP</w:t>
      </w:r>
      <w:r w:rsidR="00017CF4" w:rsidRPr="00B23DEB">
        <w:t xml:space="preserve">), </w:t>
      </w:r>
      <w:r w:rsidR="005F3177" w:rsidRPr="00B23DEB">
        <w:t xml:space="preserve">whereas </w:t>
      </w:r>
      <w:r w:rsidR="00017CF4" w:rsidRPr="00B23DEB">
        <w:t xml:space="preserve">the power to order exhumation </w:t>
      </w:r>
      <w:r w:rsidR="00A658CC" w:rsidRPr="00B23DEB">
        <w:t>“</w:t>
      </w:r>
      <w:r w:rsidR="00017CF4" w:rsidRPr="00B23DEB">
        <w:t>had to be completely arbitrary</w:t>
      </w:r>
      <w:r w:rsidR="00A658CC" w:rsidRPr="00B23DEB">
        <w:t>”</w:t>
      </w:r>
      <w:r w:rsidR="00017CF4" w:rsidRPr="00B23DEB">
        <w:t>.</w:t>
      </w:r>
    </w:p>
    <w:p w:rsidR="00181422" w:rsidRPr="00B23DEB" w:rsidRDefault="0030789E" w:rsidP="00B23DEB">
      <w:pPr>
        <w:pStyle w:val="ECHRPara"/>
      </w:pPr>
      <w:r w:rsidRPr="00B23DEB">
        <w:fldChar w:fldCharType="begin"/>
      </w:r>
      <w:r w:rsidRPr="00B23DEB">
        <w:instrText xml:space="preserve"> SEQ level0 \*arabic </w:instrText>
      </w:r>
      <w:r w:rsidRPr="00B23DEB">
        <w:fldChar w:fldCharType="separate"/>
      </w:r>
      <w:r w:rsidR="006549E3">
        <w:rPr>
          <w:noProof/>
        </w:rPr>
        <w:t>77</w:t>
      </w:r>
      <w:r w:rsidRPr="00B23DEB">
        <w:fldChar w:fldCharType="end"/>
      </w:r>
      <w:r w:rsidRPr="00B23DEB">
        <w:t>.  The applicants agreed that the interference</w:t>
      </w:r>
      <w:r w:rsidR="00822C69" w:rsidRPr="00B23DEB">
        <w:t xml:space="preserve"> at issue, serving to elucidate </w:t>
      </w:r>
      <w:r w:rsidR="005F3177" w:rsidRPr="00B23DEB">
        <w:t xml:space="preserve">the </w:t>
      </w:r>
      <w:r w:rsidR="00822C69" w:rsidRPr="00B23DEB">
        <w:t xml:space="preserve">causes of the crash, </w:t>
      </w:r>
      <w:r w:rsidR="00D516E0" w:rsidRPr="00B23DEB">
        <w:t xml:space="preserve">had </w:t>
      </w:r>
      <w:r w:rsidR="00822C69" w:rsidRPr="00B23DEB">
        <w:t xml:space="preserve">pursued the legitimate aim of </w:t>
      </w:r>
      <w:r w:rsidR="005F3177" w:rsidRPr="00B23DEB">
        <w:t xml:space="preserve">protecting </w:t>
      </w:r>
      <w:r w:rsidR="00822C69" w:rsidRPr="00B23DEB">
        <w:t>the rights and freedoms of others, national security and public safety.</w:t>
      </w:r>
    </w:p>
    <w:p w:rsidR="00181422" w:rsidRPr="00B23DEB" w:rsidRDefault="00B51BC6" w:rsidP="00B23DEB">
      <w:pPr>
        <w:pStyle w:val="ECHRPara"/>
      </w:pPr>
      <w:r w:rsidRPr="00B23DEB">
        <w:fldChar w:fldCharType="begin"/>
      </w:r>
      <w:r w:rsidRPr="00B23DEB">
        <w:instrText xml:space="preserve"> SEQ level0 \*arabic </w:instrText>
      </w:r>
      <w:r w:rsidRPr="00B23DEB">
        <w:fldChar w:fldCharType="separate"/>
      </w:r>
      <w:r w:rsidR="006549E3">
        <w:rPr>
          <w:noProof/>
        </w:rPr>
        <w:t>78</w:t>
      </w:r>
      <w:r w:rsidRPr="00B23DEB">
        <w:fldChar w:fldCharType="end"/>
      </w:r>
      <w:r w:rsidRPr="00B23DEB">
        <w:t>.  </w:t>
      </w:r>
      <w:r w:rsidR="00BF16B3" w:rsidRPr="00B23DEB">
        <w:t xml:space="preserve">The applicants conceded that the investigation into the circumstances of the crash was of utmost importance for the whole country. </w:t>
      </w:r>
      <w:r w:rsidR="00FF7FFE" w:rsidRPr="00B23DEB">
        <w:t>Nonetheless</w:t>
      </w:r>
      <w:r w:rsidR="00BF16B3" w:rsidRPr="00B23DEB">
        <w:t xml:space="preserve">, they doubted that </w:t>
      </w:r>
      <w:r w:rsidR="00592702" w:rsidRPr="00B23DEB">
        <w:t xml:space="preserve">the </w:t>
      </w:r>
      <w:r w:rsidR="00BF16B3" w:rsidRPr="00B23DEB">
        <w:t>exhumation of their husbands</w:t>
      </w:r>
      <w:r w:rsidR="00B23DEB" w:rsidRPr="00B23DEB">
        <w:t>’</w:t>
      </w:r>
      <w:r w:rsidR="00BF16B3" w:rsidRPr="00B23DEB">
        <w:t xml:space="preserve"> bodies </w:t>
      </w:r>
      <w:r w:rsidR="003053EB" w:rsidRPr="00B23DEB">
        <w:t xml:space="preserve">had been </w:t>
      </w:r>
      <w:r w:rsidR="00BF16B3" w:rsidRPr="00B23DEB">
        <w:t>necessary within the meaning of Article 8 § 2.</w:t>
      </w:r>
    </w:p>
    <w:p w:rsidR="00181422" w:rsidRPr="00B23DEB" w:rsidRDefault="00CB1DFA" w:rsidP="00B23DEB">
      <w:pPr>
        <w:pStyle w:val="ECHRPara"/>
      </w:pPr>
      <w:r w:rsidRPr="00B23DEB">
        <w:fldChar w:fldCharType="begin"/>
      </w:r>
      <w:r w:rsidRPr="00B23DEB">
        <w:instrText xml:space="preserve"> SEQ level0 \*arabic </w:instrText>
      </w:r>
      <w:r w:rsidRPr="00B23DEB">
        <w:fldChar w:fldCharType="separate"/>
      </w:r>
      <w:r w:rsidR="006549E3">
        <w:rPr>
          <w:noProof/>
        </w:rPr>
        <w:t>79</w:t>
      </w:r>
      <w:r w:rsidRPr="00B23DEB">
        <w:fldChar w:fldCharType="end"/>
      </w:r>
      <w:r w:rsidRPr="00B23DEB">
        <w:t xml:space="preserve">.  Firstly, it </w:t>
      </w:r>
      <w:r w:rsidR="00592702" w:rsidRPr="00B23DEB">
        <w:t xml:space="preserve">had been </w:t>
      </w:r>
      <w:r w:rsidRPr="00B23DEB">
        <w:t xml:space="preserve">unnecessary to order </w:t>
      </w:r>
      <w:r w:rsidR="00592702" w:rsidRPr="00B23DEB">
        <w:t xml:space="preserve">the </w:t>
      </w:r>
      <w:r w:rsidRPr="00B23DEB">
        <w:t xml:space="preserve">exhumation of the remains of all victims in one decision in order to verify the hypothesis that the crash had been caused by </w:t>
      </w:r>
      <w:r w:rsidR="00592702" w:rsidRPr="00B23DEB">
        <w:t xml:space="preserve">an </w:t>
      </w:r>
      <w:r w:rsidRPr="00B23DEB">
        <w:t xml:space="preserve">explosion. The prosecutor could have ordered first </w:t>
      </w:r>
      <w:r w:rsidR="00592702" w:rsidRPr="00B23DEB">
        <w:t xml:space="preserve">the </w:t>
      </w:r>
      <w:r w:rsidRPr="00B23DEB">
        <w:t xml:space="preserve">exhumation of </w:t>
      </w:r>
      <w:r w:rsidR="00592702" w:rsidRPr="00B23DEB">
        <w:t xml:space="preserve">the </w:t>
      </w:r>
      <w:r w:rsidRPr="00B23DEB">
        <w:t>bodies of those victims whose families did not oppose it. If th</w:t>
      </w:r>
      <w:r w:rsidR="00592702" w:rsidRPr="00B23DEB">
        <w:t>o</w:t>
      </w:r>
      <w:r w:rsidRPr="00B23DEB">
        <w:t xml:space="preserve">se actions </w:t>
      </w:r>
      <w:r w:rsidR="00592702" w:rsidRPr="00B23DEB">
        <w:t xml:space="preserve">had turned out to </w:t>
      </w:r>
      <w:r w:rsidRPr="00B23DEB">
        <w:t xml:space="preserve">be inconclusive, the exhumation of other bodies would have been justified. Secondly, the exhumation of </w:t>
      </w:r>
      <w:r w:rsidR="00592702" w:rsidRPr="00B23DEB">
        <w:t xml:space="preserve">the </w:t>
      </w:r>
      <w:r w:rsidRPr="00B23DEB">
        <w:t xml:space="preserve">remains of all the victims </w:t>
      </w:r>
      <w:r w:rsidR="00592702" w:rsidRPr="00B23DEB">
        <w:t xml:space="preserve">had been </w:t>
      </w:r>
      <w:r w:rsidRPr="00B23DEB">
        <w:t>impossible</w:t>
      </w:r>
      <w:r w:rsidR="00592702" w:rsidRPr="00B23DEB">
        <w:t>,</w:t>
      </w:r>
      <w:r w:rsidRPr="00B23DEB">
        <w:t xml:space="preserve"> since four </w:t>
      </w:r>
      <w:r w:rsidR="00592702" w:rsidRPr="00B23DEB">
        <w:t xml:space="preserve">of the </w:t>
      </w:r>
      <w:r w:rsidRPr="00B23DEB">
        <w:t>bodies had already been cremated. Thirdly, with regard to the need to properly identify the victims, neither the prosecutor nor the Government had provided any evidence suggesting that the applicants</w:t>
      </w:r>
      <w:r w:rsidR="00B23DEB" w:rsidRPr="00B23DEB">
        <w:t>’</w:t>
      </w:r>
      <w:r w:rsidRPr="00B23DEB">
        <w:t xml:space="preserve"> husbands could have been wrongly identified. Fourthly, the prosecutor</w:t>
      </w:r>
      <w:r w:rsidR="00B23DEB" w:rsidRPr="00B23DEB">
        <w:t>’</w:t>
      </w:r>
      <w:r w:rsidRPr="00B23DEB">
        <w:t xml:space="preserve">s decision </w:t>
      </w:r>
      <w:r w:rsidR="00592702" w:rsidRPr="00B23DEB">
        <w:t xml:space="preserve">had been </w:t>
      </w:r>
      <w:r w:rsidRPr="00B23DEB">
        <w:t xml:space="preserve">issued more than six years after the crash. The Polish authorities had already had </w:t>
      </w:r>
      <w:r w:rsidR="00592702" w:rsidRPr="00B23DEB">
        <w:t xml:space="preserve">an </w:t>
      </w:r>
      <w:r w:rsidRPr="00B23DEB">
        <w:t xml:space="preserve">opportunity to examine the bodies of the victims immediately after they had been </w:t>
      </w:r>
      <w:r w:rsidR="006B10B1" w:rsidRPr="00B23DEB">
        <w:t xml:space="preserve">repatriated to Poland </w:t>
      </w:r>
      <w:r w:rsidR="00FE4B26" w:rsidRPr="00B23DEB">
        <w:t>and before the burials,</w:t>
      </w:r>
      <w:r w:rsidRPr="00B23DEB">
        <w:t xml:space="preserve"> but they had not done so. Forcing the applicants to relive the trauma of 10 April 2010 after so many years just in order to fix the consequences of the authorities</w:t>
      </w:r>
      <w:r w:rsidR="00B23DEB" w:rsidRPr="00B23DEB">
        <w:t>’</w:t>
      </w:r>
      <w:r w:rsidRPr="00B23DEB">
        <w:t xml:space="preserve"> inaction require</w:t>
      </w:r>
      <w:r w:rsidR="003053EB" w:rsidRPr="00B23DEB">
        <w:t>d</w:t>
      </w:r>
      <w:r w:rsidRPr="00B23DEB">
        <w:t xml:space="preserve"> particularly convincing arguments. The applicants disagreed with the Government that the judgment </w:t>
      </w:r>
      <w:r w:rsidR="00C50812" w:rsidRPr="00B23DEB">
        <w:t xml:space="preserve">in </w:t>
      </w:r>
      <w:r w:rsidRPr="00B23DEB">
        <w:rPr>
          <w:i/>
        </w:rPr>
        <w:t>Tagayeva and Others v. Russia</w:t>
      </w:r>
      <w:r w:rsidR="00C7382B" w:rsidRPr="00B23DEB">
        <w:t xml:space="preserve"> (nos. </w:t>
      </w:r>
      <w:r w:rsidRPr="00B23DEB">
        <w:t>26562/07 and 6 others, ECHR 2017 (extracts)) was relevant for their case</w:t>
      </w:r>
      <w:r w:rsidR="00C50812" w:rsidRPr="00B23DEB">
        <w:t>,</w:t>
      </w:r>
      <w:r w:rsidRPr="00B23DEB">
        <w:t xml:space="preserve"> since </w:t>
      </w:r>
      <w:r w:rsidR="00C50812" w:rsidRPr="00B23DEB">
        <w:t>i</w:t>
      </w:r>
      <w:r w:rsidRPr="00B23DEB">
        <w:t xml:space="preserve">n that case, the families of the victims </w:t>
      </w:r>
      <w:r w:rsidR="00592702" w:rsidRPr="00B23DEB">
        <w:t xml:space="preserve">had </w:t>
      </w:r>
      <w:r w:rsidRPr="00B23DEB">
        <w:t>demanded that the authorities carry out the exhumations</w:t>
      </w:r>
      <w:r w:rsidR="00C50812" w:rsidRPr="00B23DEB">
        <w:t>, whereas in the present case the applicants had consistently opposed the exhumations</w:t>
      </w:r>
      <w:r w:rsidRPr="00B23DEB">
        <w:t>.</w:t>
      </w:r>
    </w:p>
    <w:p w:rsidR="00181422" w:rsidRPr="00B23DEB" w:rsidRDefault="004F79C0" w:rsidP="00B23DEB">
      <w:pPr>
        <w:pStyle w:val="ECHRPara"/>
      </w:pPr>
      <w:r w:rsidRPr="00B23DEB">
        <w:fldChar w:fldCharType="begin"/>
      </w:r>
      <w:r w:rsidRPr="00B23DEB">
        <w:instrText xml:space="preserve"> SEQ level0 \*arabic </w:instrText>
      </w:r>
      <w:r w:rsidRPr="00B23DEB">
        <w:fldChar w:fldCharType="separate"/>
      </w:r>
      <w:r w:rsidR="006549E3">
        <w:rPr>
          <w:noProof/>
        </w:rPr>
        <w:t>80</w:t>
      </w:r>
      <w:r w:rsidRPr="00B23DEB">
        <w:fldChar w:fldCharType="end"/>
      </w:r>
      <w:r w:rsidRPr="00B23DEB">
        <w:t>.  </w:t>
      </w:r>
      <w:r w:rsidR="007A0B93" w:rsidRPr="00B23DEB">
        <w:t xml:space="preserve">On the issue of identification of </w:t>
      </w:r>
      <w:r w:rsidR="00592702" w:rsidRPr="00B23DEB">
        <w:t xml:space="preserve">the </w:t>
      </w:r>
      <w:r w:rsidR="007A0B93" w:rsidRPr="00B23DEB">
        <w:t xml:space="preserve">bodies, </w:t>
      </w:r>
      <w:r w:rsidR="00996D72" w:rsidRPr="00B23DEB">
        <w:t>the first applicant emphasised that she had taken part in the identification of her husband</w:t>
      </w:r>
      <w:r w:rsidR="00B23DEB" w:rsidRPr="00B23DEB">
        <w:t>’</w:t>
      </w:r>
      <w:r w:rsidR="00996D72" w:rsidRPr="00B23DEB">
        <w:t xml:space="preserve">s body in Moscow. She </w:t>
      </w:r>
      <w:r w:rsidR="00592702" w:rsidRPr="00B23DEB">
        <w:t xml:space="preserve">had been </w:t>
      </w:r>
      <w:r w:rsidR="00996D72" w:rsidRPr="00B23DEB">
        <w:t>present when her husband</w:t>
      </w:r>
      <w:r w:rsidR="00B23DEB" w:rsidRPr="00B23DEB">
        <w:t>’</w:t>
      </w:r>
      <w:r w:rsidR="00996D72" w:rsidRPr="00B23DEB">
        <w:t xml:space="preserve">s body </w:t>
      </w:r>
      <w:r w:rsidR="00592702" w:rsidRPr="00B23DEB">
        <w:t xml:space="preserve">had been </w:t>
      </w:r>
      <w:r w:rsidR="00996D72" w:rsidRPr="00B23DEB">
        <w:t xml:space="preserve">put into a coffin and placed in the car which </w:t>
      </w:r>
      <w:r w:rsidR="00C50812" w:rsidRPr="00B23DEB">
        <w:t xml:space="preserve">had </w:t>
      </w:r>
      <w:r w:rsidR="00996D72" w:rsidRPr="00B23DEB">
        <w:t>transported it to the airport. Being a physician by training, she had no doubts with regard to the identification</w:t>
      </w:r>
      <w:r w:rsidR="00BA351E" w:rsidRPr="00B23DEB">
        <w:t xml:space="preserve"> of her husband</w:t>
      </w:r>
      <w:r w:rsidR="00996D72" w:rsidRPr="00B23DEB">
        <w:t xml:space="preserve">. The second applicant </w:t>
      </w:r>
      <w:r w:rsidR="00592702" w:rsidRPr="00B23DEB">
        <w:t xml:space="preserve">had </w:t>
      </w:r>
      <w:r w:rsidR="00996D72" w:rsidRPr="00B23DEB">
        <w:t>not take</w:t>
      </w:r>
      <w:r w:rsidR="00592702" w:rsidRPr="00B23DEB">
        <w:t>n</w:t>
      </w:r>
      <w:r w:rsidR="00996D72" w:rsidRPr="00B23DEB">
        <w:t xml:space="preserve"> part in the identification of her husband</w:t>
      </w:r>
      <w:r w:rsidR="00B23DEB" w:rsidRPr="00B23DEB">
        <w:t>’</w:t>
      </w:r>
      <w:r w:rsidR="00996D72" w:rsidRPr="00B23DEB">
        <w:t xml:space="preserve">s body. His body </w:t>
      </w:r>
      <w:r w:rsidR="00592702" w:rsidRPr="00B23DEB">
        <w:t xml:space="preserve">had been </w:t>
      </w:r>
      <w:r w:rsidR="00996D72" w:rsidRPr="00B23DEB">
        <w:t xml:space="preserve">identified </w:t>
      </w:r>
      <w:r w:rsidR="00BA351E" w:rsidRPr="00B23DEB">
        <w:t xml:space="preserve">in Moscow </w:t>
      </w:r>
      <w:r w:rsidR="00996D72" w:rsidRPr="00B23DEB">
        <w:t xml:space="preserve">by the then Minister of Health, who </w:t>
      </w:r>
      <w:r w:rsidR="00592702" w:rsidRPr="00B23DEB">
        <w:t xml:space="preserve">had been </w:t>
      </w:r>
      <w:r w:rsidR="009E7B7C" w:rsidRPr="00B23DEB">
        <w:t>a friend of Mr </w:t>
      </w:r>
      <w:r w:rsidR="00996D72" w:rsidRPr="00B23DEB">
        <w:t>Rybicki for many years.</w:t>
      </w:r>
    </w:p>
    <w:p w:rsidR="00181422" w:rsidRPr="00B23DEB" w:rsidRDefault="00DA78D7" w:rsidP="00B23DEB">
      <w:pPr>
        <w:pStyle w:val="ECHRPara"/>
      </w:pPr>
      <w:r w:rsidRPr="00B23DEB">
        <w:fldChar w:fldCharType="begin"/>
      </w:r>
      <w:r w:rsidRPr="00B23DEB">
        <w:instrText xml:space="preserve"> SEQ level0 \*arabic </w:instrText>
      </w:r>
      <w:r w:rsidRPr="00B23DEB">
        <w:fldChar w:fldCharType="separate"/>
      </w:r>
      <w:r w:rsidR="006549E3">
        <w:rPr>
          <w:noProof/>
        </w:rPr>
        <w:t>81</w:t>
      </w:r>
      <w:r w:rsidRPr="00B23DEB">
        <w:fldChar w:fldCharType="end"/>
      </w:r>
      <w:r w:rsidRPr="00B23DEB">
        <w:t xml:space="preserve">.  The applicants stressed that </w:t>
      </w:r>
      <w:r w:rsidR="00511357" w:rsidRPr="00B23DEB">
        <w:t>they had not been involved in the decision-making process regarding the exhumation of the</w:t>
      </w:r>
      <w:r w:rsidR="00192FB6" w:rsidRPr="00B23DEB">
        <w:t>ir</w:t>
      </w:r>
      <w:r w:rsidR="00511357" w:rsidRPr="00B23DEB">
        <w:t xml:space="preserve"> husbands</w:t>
      </w:r>
      <w:r w:rsidR="00B23DEB" w:rsidRPr="00B23DEB">
        <w:t>’</w:t>
      </w:r>
      <w:r w:rsidR="00511357" w:rsidRPr="00B23DEB">
        <w:t xml:space="preserve"> bodies. </w:t>
      </w:r>
      <w:r w:rsidR="00FE4B26" w:rsidRPr="00B23DEB">
        <w:t xml:space="preserve">A </w:t>
      </w:r>
      <w:r w:rsidR="001A5302" w:rsidRPr="00B23DEB">
        <w:t xml:space="preserve">meeting with the families should have been organised before the decision </w:t>
      </w:r>
      <w:r w:rsidR="00FE4B26" w:rsidRPr="00B23DEB">
        <w:t xml:space="preserve">of 7 October 2016 </w:t>
      </w:r>
      <w:r w:rsidR="001A5302" w:rsidRPr="00B23DEB">
        <w:t xml:space="preserve">had been issued. Such a meeting would </w:t>
      </w:r>
      <w:r w:rsidR="00FE4B26" w:rsidRPr="00B23DEB">
        <w:t xml:space="preserve">have permitted </w:t>
      </w:r>
      <w:r w:rsidR="00BA351E" w:rsidRPr="00B23DEB">
        <w:t xml:space="preserve">the families to be consulted on </w:t>
      </w:r>
      <w:r w:rsidR="001A5302" w:rsidRPr="00B23DEB">
        <w:t>the prosecutor</w:t>
      </w:r>
      <w:r w:rsidR="00B23DEB" w:rsidRPr="00B23DEB">
        <w:t>’</w:t>
      </w:r>
      <w:r w:rsidR="001A5302" w:rsidRPr="00B23DEB">
        <w:t xml:space="preserve">s plans and </w:t>
      </w:r>
      <w:r w:rsidR="00BA351E" w:rsidRPr="00B23DEB">
        <w:t xml:space="preserve">to choose </w:t>
      </w:r>
      <w:r w:rsidR="001A5302" w:rsidRPr="00B23DEB">
        <w:t>options which adequately respect</w:t>
      </w:r>
      <w:r w:rsidR="00192FB6" w:rsidRPr="00B23DEB">
        <w:t>ed</w:t>
      </w:r>
      <w:r w:rsidR="001A5302" w:rsidRPr="00B23DEB">
        <w:t xml:space="preserve"> their feelings. </w:t>
      </w:r>
      <w:r w:rsidR="00FE4B26" w:rsidRPr="00B23DEB">
        <w:t xml:space="preserve">A meeting subsequent to the said decision </w:t>
      </w:r>
      <w:r w:rsidR="004B53BF" w:rsidRPr="00B23DEB">
        <w:t>could not be considered as a consultation</w:t>
      </w:r>
      <w:r w:rsidR="00C50812" w:rsidRPr="00B23DEB">
        <w:t>,</w:t>
      </w:r>
      <w:r w:rsidR="004B53BF" w:rsidRPr="00B23DEB">
        <w:t xml:space="preserve"> because it </w:t>
      </w:r>
      <w:r w:rsidR="00192FB6" w:rsidRPr="00B23DEB">
        <w:t xml:space="preserve">had </w:t>
      </w:r>
      <w:r w:rsidR="004B53BF" w:rsidRPr="00B23DEB">
        <w:t xml:space="preserve">not </w:t>
      </w:r>
      <w:r w:rsidR="00192FB6" w:rsidRPr="00B23DEB">
        <w:t xml:space="preserve">allowed </w:t>
      </w:r>
      <w:r w:rsidR="004B53BF" w:rsidRPr="00B23DEB">
        <w:t xml:space="preserve">the applicants </w:t>
      </w:r>
      <w:r w:rsidR="00192FB6" w:rsidRPr="00B23DEB">
        <w:t xml:space="preserve">to </w:t>
      </w:r>
      <w:r w:rsidR="004B53BF" w:rsidRPr="00B23DEB">
        <w:t xml:space="preserve">influence the decision-making process. The authorities had not even consulted the applicants </w:t>
      </w:r>
      <w:r w:rsidR="00192FB6" w:rsidRPr="00B23DEB">
        <w:t xml:space="preserve">on </w:t>
      </w:r>
      <w:r w:rsidR="004B53BF" w:rsidRPr="00B23DEB">
        <w:t xml:space="preserve">the planned date of the exhumation. In fact, </w:t>
      </w:r>
      <w:r w:rsidR="00614F23" w:rsidRPr="00B23DEB">
        <w:t xml:space="preserve">the applicants had been unaware of the timetable of the exhumations </w:t>
      </w:r>
      <w:r w:rsidR="004B53BF" w:rsidRPr="00B23DEB">
        <w:t>until the</w:t>
      </w:r>
      <w:r w:rsidR="00614F23" w:rsidRPr="00B23DEB">
        <w:t>y</w:t>
      </w:r>
      <w:r w:rsidR="004B53BF" w:rsidRPr="00B23DEB">
        <w:t xml:space="preserve"> </w:t>
      </w:r>
      <w:r w:rsidR="00614F23" w:rsidRPr="00B23DEB">
        <w:t xml:space="preserve">had been served with </w:t>
      </w:r>
      <w:r w:rsidR="004B53BF" w:rsidRPr="00B23DEB">
        <w:t>the Government</w:t>
      </w:r>
      <w:r w:rsidR="00B23DEB" w:rsidRPr="00B23DEB">
        <w:t>’</w:t>
      </w:r>
      <w:r w:rsidR="004B53BF" w:rsidRPr="00B23DEB">
        <w:t>s observations in the present case</w:t>
      </w:r>
      <w:r w:rsidR="00614F23" w:rsidRPr="00B23DEB">
        <w:t>.</w:t>
      </w:r>
    </w:p>
    <w:p w:rsidR="00181422" w:rsidRPr="00B23DEB" w:rsidRDefault="00FE4B26" w:rsidP="00B23DEB">
      <w:pPr>
        <w:pStyle w:val="ECHRPara"/>
      </w:pPr>
      <w:r w:rsidRPr="00B23DEB">
        <w:fldChar w:fldCharType="begin"/>
      </w:r>
      <w:r w:rsidRPr="00B23DEB">
        <w:instrText xml:space="preserve"> SEQ level0 \*arabic </w:instrText>
      </w:r>
      <w:r w:rsidRPr="00B23DEB">
        <w:fldChar w:fldCharType="separate"/>
      </w:r>
      <w:r w:rsidR="006549E3">
        <w:rPr>
          <w:noProof/>
        </w:rPr>
        <w:t>82</w:t>
      </w:r>
      <w:r w:rsidRPr="00B23DEB">
        <w:fldChar w:fldCharType="end"/>
      </w:r>
      <w:r w:rsidRPr="00B23DEB">
        <w:t>.  </w:t>
      </w:r>
      <w:r w:rsidR="004B53BF" w:rsidRPr="00B23DEB">
        <w:t>In the applicants</w:t>
      </w:r>
      <w:r w:rsidR="00B23DEB" w:rsidRPr="00B23DEB">
        <w:t>’</w:t>
      </w:r>
      <w:r w:rsidR="004B53BF" w:rsidRPr="00B23DEB">
        <w:t xml:space="preserve"> view, in such sensitive matters as the exhumation of the body of a close relative, only </w:t>
      </w:r>
      <w:r w:rsidR="001C2D1E" w:rsidRPr="00B23DEB">
        <w:t xml:space="preserve">a </w:t>
      </w:r>
      <w:r w:rsidR="004B53BF" w:rsidRPr="00B23DEB">
        <w:t xml:space="preserve">judicial review could have ensured </w:t>
      </w:r>
      <w:r w:rsidR="001C2D1E" w:rsidRPr="00B23DEB">
        <w:t xml:space="preserve">the </w:t>
      </w:r>
      <w:r w:rsidR="004B53BF" w:rsidRPr="00B23DEB">
        <w:t xml:space="preserve">proper weighing of </w:t>
      </w:r>
      <w:r w:rsidR="001C2D1E" w:rsidRPr="00B23DEB">
        <w:t xml:space="preserve">the </w:t>
      </w:r>
      <w:r w:rsidR="004B53BF" w:rsidRPr="00B23DEB">
        <w:t>various conflicting interest</w:t>
      </w:r>
      <w:r w:rsidR="001C2D1E" w:rsidRPr="00B23DEB">
        <w:t>s</w:t>
      </w:r>
      <w:r w:rsidR="004B53BF" w:rsidRPr="00B23DEB">
        <w:t xml:space="preserve"> at stake. </w:t>
      </w:r>
      <w:r w:rsidR="001C2D1E" w:rsidRPr="00B23DEB">
        <w:t xml:space="preserve">In accordance with </w:t>
      </w:r>
      <w:r w:rsidR="001C25CA" w:rsidRPr="00B23DEB">
        <w:t>the Court</w:t>
      </w:r>
      <w:r w:rsidR="00B23DEB" w:rsidRPr="00B23DEB">
        <w:t>’</w:t>
      </w:r>
      <w:r w:rsidR="001C25CA" w:rsidRPr="00B23DEB">
        <w:t xml:space="preserve">s case-law, judicial </w:t>
      </w:r>
      <w:r w:rsidR="001C2D1E" w:rsidRPr="00B23DEB">
        <w:t xml:space="preserve">review </w:t>
      </w:r>
      <w:r w:rsidR="001C25CA" w:rsidRPr="00B23DEB">
        <w:t>was one of the most important safeguards against arbitrary interferences with</w:t>
      </w:r>
      <w:r w:rsidR="00C7382B" w:rsidRPr="00B23DEB">
        <w:t xml:space="preserve"> rights protected by Article </w:t>
      </w:r>
      <w:r w:rsidR="007B5B59" w:rsidRPr="00B23DEB">
        <w:t>8</w:t>
      </w:r>
      <w:r w:rsidR="001C2D1E" w:rsidRPr="00B23DEB">
        <w:t>. The applicants referred to</w:t>
      </w:r>
      <w:r w:rsidR="007B5B59" w:rsidRPr="00B23DEB">
        <w:t xml:space="preserve"> </w:t>
      </w:r>
      <w:r w:rsidR="001C2D1E" w:rsidRPr="00B23DEB">
        <w:t xml:space="preserve">the cases of </w:t>
      </w:r>
      <w:r w:rsidR="007B5B59" w:rsidRPr="00B23DEB">
        <w:rPr>
          <w:i/>
        </w:rPr>
        <w:t>Varga v. Romania</w:t>
      </w:r>
      <w:r w:rsidR="007B5B59" w:rsidRPr="00B23DEB">
        <w:t xml:space="preserve"> </w:t>
      </w:r>
      <w:r w:rsidR="001C2D1E" w:rsidRPr="00B23DEB">
        <w:t>(</w:t>
      </w:r>
      <w:r w:rsidR="007B5B59" w:rsidRPr="00B23DEB">
        <w:t>no. 73957/01, §</w:t>
      </w:r>
      <w:r w:rsidR="00C7382B" w:rsidRPr="00B23DEB">
        <w:t>§ </w:t>
      </w:r>
      <w:r w:rsidR="007B5B59" w:rsidRPr="00B23DEB">
        <w:t>70-74, 1 April 2008</w:t>
      </w:r>
      <w:r w:rsidR="001C2D1E" w:rsidRPr="00B23DEB">
        <w:t>),</w:t>
      </w:r>
      <w:r w:rsidR="007B5B59" w:rsidRPr="00B23DEB">
        <w:t xml:space="preserve"> </w:t>
      </w:r>
      <w:r w:rsidR="007B5B59" w:rsidRPr="00B23DEB">
        <w:rPr>
          <w:i/>
        </w:rPr>
        <w:t>Kennedy v. the United Kingdom</w:t>
      </w:r>
      <w:r w:rsidR="007B5B59" w:rsidRPr="00B23DEB">
        <w:t xml:space="preserve"> </w:t>
      </w:r>
      <w:r w:rsidR="001C2D1E" w:rsidRPr="00B23DEB">
        <w:t>(</w:t>
      </w:r>
      <w:r w:rsidR="00C7382B" w:rsidRPr="00B23DEB">
        <w:t>no. 26839/05, § </w:t>
      </w:r>
      <w:r w:rsidR="007B5B59" w:rsidRPr="00B23DEB">
        <w:t>124, 18 May 2010</w:t>
      </w:r>
      <w:r w:rsidR="001C2D1E" w:rsidRPr="00B23DEB">
        <w:t>),</w:t>
      </w:r>
      <w:r w:rsidR="007B5B59" w:rsidRPr="00B23DEB">
        <w:t xml:space="preserve"> and </w:t>
      </w:r>
      <w:r w:rsidR="007B5B59" w:rsidRPr="00B23DEB">
        <w:rPr>
          <w:i/>
        </w:rPr>
        <w:t>X v. Finland</w:t>
      </w:r>
      <w:r w:rsidR="007B5B59" w:rsidRPr="00B23DEB">
        <w:t xml:space="preserve"> </w:t>
      </w:r>
      <w:r w:rsidR="001C2D1E" w:rsidRPr="00B23DEB">
        <w:t>(</w:t>
      </w:r>
      <w:r w:rsidR="007B5B59" w:rsidRPr="00B23DEB">
        <w:t>no. 34806/04, § 220, ECHR 2012 (extracts)).</w:t>
      </w:r>
    </w:p>
    <w:p w:rsidR="00181422" w:rsidRPr="00B23DEB" w:rsidRDefault="00BA351E" w:rsidP="00B23DEB">
      <w:pPr>
        <w:pStyle w:val="ECHRPara"/>
      </w:pPr>
      <w:r w:rsidRPr="00B23DEB">
        <w:fldChar w:fldCharType="begin"/>
      </w:r>
      <w:r w:rsidRPr="00B23DEB">
        <w:instrText xml:space="preserve"> SEQ level0 \*arabic </w:instrText>
      </w:r>
      <w:r w:rsidRPr="00B23DEB">
        <w:fldChar w:fldCharType="separate"/>
      </w:r>
      <w:r w:rsidR="006549E3">
        <w:rPr>
          <w:noProof/>
        </w:rPr>
        <w:t>83</w:t>
      </w:r>
      <w:r w:rsidRPr="00B23DEB">
        <w:fldChar w:fldCharType="end"/>
      </w:r>
      <w:r w:rsidRPr="00B23DEB">
        <w:t>.  </w:t>
      </w:r>
      <w:r w:rsidR="00F649D7" w:rsidRPr="00B23DEB">
        <w:t xml:space="preserve">The </w:t>
      </w:r>
      <w:r w:rsidR="00B9648A" w:rsidRPr="00B23DEB">
        <w:t>lack of any real consultations or judicial review was</w:t>
      </w:r>
      <w:r w:rsidR="00F649D7" w:rsidRPr="00B23DEB">
        <w:t xml:space="preserve"> even more striking given the lapse of time between the crash and the prosecutor</w:t>
      </w:r>
      <w:r w:rsidR="00B23DEB" w:rsidRPr="00B23DEB">
        <w:t>’</w:t>
      </w:r>
      <w:r w:rsidR="00F649D7" w:rsidRPr="00B23DEB">
        <w:t>s decision. It was not an urgent situation, where even a slight delay could cause irreversible damage to the investigation. Consequently, the flawed decision-making process was not justified.</w:t>
      </w:r>
    </w:p>
    <w:p w:rsidR="00181422" w:rsidRPr="00B23DEB" w:rsidRDefault="00064E94" w:rsidP="00B23DEB">
      <w:pPr>
        <w:pStyle w:val="ECHRPara"/>
      </w:pPr>
      <w:r w:rsidRPr="00B23DEB">
        <w:fldChar w:fldCharType="begin"/>
      </w:r>
      <w:r w:rsidRPr="00B23DEB">
        <w:instrText xml:space="preserve"> SEQ level0 \*arabic </w:instrText>
      </w:r>
      <w:r w:rsidRPr="00B23DEB">
        <w:fldChar w:fldCharType="separate"/>
      </w:r>
      <w:r w:rsidR="006549E3">
        <w:rPr>
          <w:noProof/>
        </w:rPr>
        <w:t>84</w:t>
      </w:r>
      <w:r w:rsidRPr="00B23DEB">
        <w:fldChar w:fldCharType="end"/>
      </w:r>
      <w:r w:rsidRPr="00B23DEB">
        <w:t>.  </w:t>
      </w:r>
      <w:r w:rsidR="00BA351E" w:rsidRPr="00B23DEB">
        <w:t xml:space="preserve">In the Polish context, the necessity of </w:t>
      </w:r>
      <w:r w:rsidR="00A65B19" w:rsidRPr="00B23DEB">
        <w:t xml:space="preserve">a </w:t>
      </w:r>
      <w:r w:rsidR="00BA351E" w:rsidRPr="00B23DEB">
        <w:t xml:space="preserve">judicial review was even more important, taking into account that the prosecution service was not an independent authority, but a body subordinated to the Prosecutor General, who </w:t>
      </w:r>
      <w:r w:rsidR="001C2D1E" w:rsidRPr="00B23DEB">
        <w:t xml:space="preserve">was </w:t>
      </w:r>
      <w:r w:rsidR="00BA351E" w:rsidRPr="00B23DEB">
        <w:t>at the same time the Minister of Justice.</w:t>
      </w:r>
    </w:p>
    <w:p w:rsidR="00181422" w:rsidRPr="00B23DEB" w:rsidRDefault="00DB7854" w:rsidP="00B23DEB">
      <w:pPr>
        <w:pStyle w:val="ECHRPara"/>
      </w:pPr>
      <w:r w:rsidRPr="00B23DEB">
        <w:fldChar w:fldCharType="begin"/>
      </w:r>
      <w:r w:rsidRPr="00B23DEB">
        <w:instrText xml:space="preserve"> SEQ level0 \*arabic </w:instrText>
      </w:r>
      <w:r w:rsidRPr="00B23DEB">
        <w:fldChar w:fldCharType="separate"/>
      </w:r>
      <w:r w:rsidR="006549E3">
        <w:rPr>
          <w:noProof/>
        </w:rPr>
        <w:t>85</w:t>
      </w:r>
      <w:r w:rsidRPr="00B23DEB">
        <w:fldChar w:fldCharType="end"/>
      </w:r>
      <w:r w:rsidRPr="00B23DEB">
        <w:t>.  </w:t>
      </w:r>
      <w:r w:rsidR="00867352" w:rsidRPr="00B23DEB">
        <w:t>The applicants emphasised that the prosecutor</w:t>
      </w:r>
      <w:r w:rsidR="00B23DEB" w:rsidRPr="00B23DEB">
        <w:t>’</w:t>
      </w:r>
      <w:r w:rsidR="00867352" w:rsidRPr="00B23DEB">
        <w:t xml:space="preserve">s decision had caused them significant psychological harm by forcing them to relive the mourning and the trauma. Both applicants had already endured prolonged mental suffering following the loss of their husbands. The Government </w:t>
      </w:r>
      <w:r w:rsidR="001C2D1E" w:rsidRPr="00B23DEB">
        <w:t xml:space="preserve">had </w:t>
      </w:r>
      <w:r w:rsidR="00867352" w:rsidRPr="00B23DEB">
        <w:t>not present</w:t>
      </w:r>
      <w:r w:rsidR="001C2D1E" w:rsidRPr="00B23DEB">
        <w:t>ed</w:t>
      </w:r>
      <w:r w:rsidR="00867352" w:rsidRPr="00B23DEB">
        <w:t xml:space="preserve"> any convincing arguments which could justify exposing the</w:t>
      </w:r>
      <w:r w:rsidR="00A65B19" w:rsidRPr="00B23DEB">
        <w:t>m</w:t>
      </w:r>
      <w:r w:rsidR="00867352" w:rsidRPr="00B23DEB">
        <w:t xml:space="preserve"> again to such psychological trauma.</w:t>
      </w:r>
    </w:p>
    <w:p w:rsidR="00181422" w:rsidRPr="00B23DEB" w:rsidRDefault="00867352" w:rsidP="00B23DEB">
      <w:pPr>
        <w:pStyle w:val="ECHRPara"/>
      </w:pPr>
      <w:r w:rsidRPr="00B23DEB">
        <w:fldChar w:fldCharType="begin"/>
      </w:r>
      <w:r w:rsidRPr="00B23DEB">
        <w:instrText xml:space="preserve"> SEQ level0 \*arabic </w:instrText>
      </w:r>
      <w:r w:rsidRPr="00B23DEB">
        <w:fldChar w:fldCharType="separate"/>
      </w:r>
      <w:r w:rsidR="006549E3">
        <w:rPr>
          <w:noProof/>
        </w:rPr>
        <w:t>86</w:t>
      </w:r>
      <w:r w:rsidRPr="00B23DEB">
        <w:fldChar w:fldCharType="end"/>
      </w:r>
      <w:r w:rsidRPr="00B23DEB">
        <w:t>.  </w:t>
      </w:r>
      <w:r w:rsidR="00F649D7" w:rsidRPr="00B23DEB">
        <w:t xml:space="preserve">In conclusion, the authorities had </w:t>
      </w:r>
      <w:r w:rsidR="001C2D1E" w:rsidRPr="00B23DEB">
        <w:t xml:space="preserve">shown </w:t>
      </w:r>
      <w:r w:rsidR="009C1E82" w:rsidRPr="00B23DEB">
        <w:t xml:space="preserve">a blatant </w:t>
      </w:r>
      <w:r w:rsidR="001C2D1E" w:rsidRPr="00B23DEB">
        <w:t xml:space="preserve">disregard </w:t>
      </w:r>
      <w:r w:rsidR="009C1E82" w:rsidRPr="00B23DEB">
        <w:t>for the applicants</w:t>
      </w:r>
      <w:r w:rsidR="00B23DEB" w:rsidRPr="00B23DEB">
        <w:t>’</w:t>
      </w:r>
      <w:r w:rsidR="009C1E82" w:rsidRPr="00B23DEB">
        <w:t xml:space="preserve"> feelings</w:t>
      </w:r>
      <w:r w:rsidR="001C2D1E" w:rsidRPr="00B23DEB">
        <w:t>,</w:t>
      </w:r>
      <w:r w:rsidR="009C1E82" w:rsidRPr="00B23DEB">
        <w:t xml:space="preserve"> and the interference at issue </w:t>
      </w:r>
      <w:r w:rsidR="003053EB" w:rsidRPr="00B23DEB">
        <w:t xml:space="preserve">had </w:t>
      </w:r>
      <w:r w:rsidR="009C1E82" w:rsidRPr="00B23DEB">
        <w:t xml:space="preserve">not </w:t>
      </w:r>
      <w:r w:rsidR="003053EB" w:rsidRPr="00B23DEB">
        <w:t xml:space="preserve">been </w:t>
      </w:r>
      <w:r w:rsidR="009C1E82" w:rsidRPr="00B23DEB">
        <w:t>necessary in terms of Article 8 § 2.</w:t>
      </w:r>
    </w:p>
    <w:p w:rsidR="00181422" w:rsidRPr="00B23DEB" w:rsidRDefault="00C7382B" w:rsidP="00B23DEB">
      <w:pPr>
        <w:pStyle w:val="ECHRHeading3"/>
      </w:pPr>
      <w:r w:rsidRPr="00B23DEB">
        <w:t>2.  </w:t>
      </w:r>
      <w:r w:rsidR="007A7A22" w:rsidRPr="00B23DEB">
        <w:t>The Government</w:t>
      </w:r>
      <w:r w:rsidR="00B23DEB" w:rsidRPr="00B23DEB">
        <w:t>’</w:t>
      </w:r>
      <w:r w:rsidR="007A7A22" w:rsidRPr="00B23DEB">
        <w:t>s submissions</w:t>
      </w:r>
    </w:p>
    <w:p w:rsidR="00181422" w:rsidRPr="00B23DEB" w:rsidRDefault="00752EEE" w:rsidP="00B23DEB">
      <w:pPr>
        <w:pStyle w:val="ECHRPara"/>
      </w:pPr>
      <w:r w:rsidRPr="00B23DEB">
        <w:fldChar w:fldCharType="begin"/>
      </w:r>
      <w:r w:rsidRPr="00B23DEB">
        <w:instrText xml:space="preserve"> SEQ level0 \*arabic </w:instrText>
      </w:r>
      <w:r w:rsidRPr="00B23DEB">
        <w:fldChar w:fldCharType="separate"/>
      </w:r>
      <w:r w:rsidR="006549E3">
        <w:rPr>
          <w:noProof/>
        </w:rPr>
        <w:t>87</w:t>
      </w:r>
      <w:r w:rsidRPr="00B23DEB">
        <w:fldChar w:fldCharType="end"/>
      </w:r>
      <w:r w:rsidRPr="00B23DEB">
        <w:t>.  </w:t>
      </w:r>
      <w:r w:rsidR="00A36A47" w:rsidRPr="00B23DEB">
        <w:t>On the issue of interference, the Government</w:t>
      </w:r>
      <w:r w:rsidR="00D82BAE" w:rsidRPr="00B23DEB">
        <w:t xml:space="preserve"> </w:t>
      </w:r>
      <w:r w:rsidR="00A36A47" w:rsidRPr="00B23DEB">
        <w:t>noted that matters concerning the burial of family members f</w:t>
      </w:r>
      <w:r w:rsidR="00116073" w:rsidRPr="00B23DEB">
        <w:t>ell within the scope of Article </w:t>
      </w:r>
      <w:r w:rsidR="00A36A47" w:rsidRPr="00B23DEB">
        <w:t xml:space="preserve">8. </w:t>
      </w:r>
      <w:r w:rsidR="00D82BAE" w:rsidRPr="00B23DEB">
        <w:t xml:space="preserve">Referring to the </w:t>
      </w:r>
      <w:r w:rsidR="00D82BAE" w:rsidRPr="00B23DEB">
        <w:rPr>
          <w:i/>
        </w:rPr>
        <w:t xml:space="preserve">Estate of Kresten Filtenborg Mortensen v. Denmark </w:t>
      </w:r>
      <w:r w:rsidR="00D82BAE" w:rsidRPr="00B23DEB">
        <w:t>(</w:t>
      </w:r>
      <w:r w:rsidR="00C7382B" w:rsidRPr="00B23DEB">
        <w:t>(dec.), no. </w:t>
      </w:r>
      <w:r w:rsidR="00D82BAE" w:rsidRPr="00B23DEB">
        <w:t>1338/03, ECHR 2006</w:t>
      </w:r>
      <w:r w:rsidR="00D82BAE" w:rsidRPr="00B23DEB">
        <w:noBreakHyphen/>
        <w:t>V), the Government did not contest that the applicants</w:t>
      </w:r>
      <w:r w:rsidR="00B23DEB" w:rsidRPr="00B23DEB">
        <w:t>’</w:t>
      </w:r>
      <w:r w:rsidR="00D82BAE" w:rsidRPr="00B23DEB">
        <w:t xml:space="preserve"> right to respect for the memory of </w:t>
      </w:r>
      <w:r w:rsidR="00A65B19" w:rsidRPr="00B23DEB">
        <w:t xml:space="preserve">a </w:t>
      </w:r>
      <w:r w:rsidR="00D82BAE" w:rsidRPr="00B23DEB">
        <w:t xml:space="preserve">deceased family member </w:t>
      </w:r>
      <w:r w:rsidR="00363855" w:rsidRPr="00B23DEB">
        <w:t xml:space="preserve">fell within the scope of </w:t>
      </w:r>
      <w:r w:rsidR="00D82BAE" w:rsidRPr="00B23DEB">
        <w:t xml:space="preserve">Article 8 § 1. </w:t>
      </w:r>
      <w:r w:rsidR="00CF21F0" w:rsidRPr="00B23DEB">
        <w:t xml:space="preserve">They </w:t>
      </w:r>
      <w:r w:rsidR="008B747C" w:rsidRPr="00B23DEB">
        <w:t xml:space="preserve">asserted that this right </w:t>
      </w:r>
      <w:r w:rsidR="003D7204" w:rsidRPr="00B23DEB">
        <w:t xml:space="preserve">should be considered to fall within the </w:t>
      </w:r>
      <w:r w:rsidR="008B747C" w:rsidRPr="00B23DEB">
        <w:t>notion of the right to private life</w:t>
      </w:r>
      <w:r w:rsidR="003D7204" w:rsidRPr="00B23DEB">
        <w:t>.</w:t>
      </w:r>
    </w:p>
    <w:p w:rsidR="00181422" w:rsidRPr="00B23DEB" w:rsidRDefault="008B747C" w:rsidP="00B23DEB">
      <w:pPr>
        <w:pStyle w:val="ECHRPara"/>
      </w:pPr>
      <w:r w:rsidRPr="00B23DEB">
        <w:fldChar w:fldCharType="begin"/>
      </w:r>
      <w:r w:rsidRPr="00B23DEB">
        <w:instrText xml:space="preserve"> SEQ level0 \*arabic </w:instrText>
      </w:r>
      <w:r w:rsidRPr="00B23DEB">
        <w:fldChar w:fldCharType="separate"/>
      </w:r>
      <w:r w:rsidR="006549E3">
        <w:rPr>
          <w:noProof/>
        </w:rPr>
        <w:t>88</w:t>
      </w:r>
      <w:r w:rsidRPr="00B23DEB">
        <w:fldChar w:fldCharType="end"/>
      </w:r>
      <w:r w:rsidRPr="00B23DEB">
        <w:t>.  </w:t>
      </w:r>
      <w:r w:rsidR="00CF6799" w:rsidRPr="00B23DEB">
        <w:t>The purpose</w:t>
      </w:r>
      <w:r w:rsidR="00363855" w:rsidRPr="00B23DEB">
        <w:t xml:space="preserve"> </w:t>
      </w:r>
      <w:r w:rsidR="00CF6799" w:rsidRPr="00B23DEB">
        <w:t>of the prosecutor</w:t>
      </w:r>
      <w:r w:rsidR="00B23DEB" w:rsidRPr="00B23DEB">
        <w:t>’</w:t>
      </w:r>
      <w:r w:rsidR="00CF6799" w:rsidRPr="00B23DEB">
        <w:t>s decision of 7 October 2016</w:t>
      </w:r>
      <w:r w:rsidR="00F73279" w:rsidRPr="00B23DEB">
        <w:t>, however,</w:t>
      </w:r>
      <w:r w:rsidR="00CF6799" w:rsidRPr="00B23DEB">
        <w:t xml:space="preserve"> </w:t>
      </w:r>
      <w:r w:rsidR="00F73279" w:rsidRPr="00B23DEB">
        <w:t xml:space="preserve">had been to </w:t>
      </w:r>
      <w:r w:rsidR="00CF6799" w:rsidRPr="00B23DEB">
        <w:t xml:space="preserve">appoint a team of international forensic experts </w:t>
      </w:r>
      <w:r w:rsidR="009E7B7C" w:rsidRPr="00B23DEB">
        <w:t>with a </w:t>
      </w:r>
      <w:r w:rsidR="005C7D3E" w:rsidRPr="00B23DEB">
        <w:t xml:space="preserve">view to carrying out autopsies on the bodies of eighty-three victims of the crash. </w:t>
      </w:r>
      <w:r w:rsidR="00F73279" w:rsidRPr="00B23DEB">
        <w:t xml:space="preserve">That </w:t>
      </w:r>
      <w:r w:rsidR="005C7D3E" w:rsidRPr="00B23DEB">
        <w:t xml:space="preserve">decision, </w:t>
      </w:r>
      <w:r w:rsidR="005C7D3E" w:rsidRPr="00B23DEB">
        <w:rPr>
          <w:i/>
        </w:rPr>
        <w:t>per se</w:t>
      </w:r>
      <w:r w:rsidR="005C7D3E" w:rsidRPr="00B23DEB">
        <w:t>, did not constitute an interference in terms of Article 8 § 1 of the Convention.</w:t>
      </w:r>
      <w:r w:rsidRPr="00B23DEB">
        <w:t xml:space="preserve"> </w:t>
      </w:r>
      <w:r w:rsidR="005C7D3E" w:rsidRPr="00B23DEB">
        <w:t xml:space="preserve">However, in order to enable </w:t>
      </w:r>
      <w:r w:rsidR="00F73279" w:rsidRPr="00B23DEB">
        <w:t xml:space="preserve">the forensic experts to examine </w:t>
      </w:r>
      <w:r w:rsidR="005C7D3E" w:rsidRPr="00B23DEB">
        <w:t>the victims</w:t>
      </w:r>
      <w:r w:rsidR="00B23DEB" w:rsidRPr="00B23DEB">
        <w:t>’</w:t>
      </w:r>
      <w:r w:rsidR="005C7D3E" w:rsidRPr="00B23DEB">
        <w:t xml:space="preserve"> bodies</w:t>
      </w:r>
      <w:r w:rsidR="00A65B19" w:rsidRPr="00B23DEB">
        <w:t>,</w:t>
      </w:r>
      <w:r w:rsidR="005C7D3E" w:rsidRPr="00B23DEB">
        <w:t xml:space="preserve"> it </w:t>
      </w:r>
      <w:r w:rsidR="00A65B19" w:rsidRPr="00B23DEB">
        <w:t xml:space="preserve">had been </w:t>
      </w:r>
      <w:r w:rsidR="005C7D3E" w:rsidRPr="00B23DEB">
        <w:t xml:space="preserve">necessary to have access to them. It could </w:t>
      </w:r>
      <w:r w:rsidR="00105BAB" w:rsidRPr="00B23DEB">
        <w:t xml:space="preserve">then </w:t>
      </w:r>
      <w:r w:rsidR="005C7D3E" w:rsidRPr="00B23DEB">
        <w:t>be said that in some way, as noted by the Warsaw Regional Court, the prosecutor</w:t>
      </w:r>
      <w:r w:rsidR="00B23DEB" w:rsidRPr="00B23DEB">
        <w:t>’</w:t>
      </w:r>
      <w:r w:rsidR="005C7D3E" w:rsidRPr="00B23DEB">
        <w:t xml:space="preserve">s decision of 7 October 2016 </w:t>
      </w:r>
      <w:r w:rsidR="00A65B19" w:rsidRPr="00B23DEB">
        <w:t xml:space="preserve">had </w:t>
      </w:r>
      <w:r w:rsidR="005C7D3E" w:rsidRPr="00B23DEB">
        <w:t xml:space="preserve">predetermined the issue of exhumation. </w:t>
      </w:r>
      <w:r w:rsidR="00105BAB" w:rsidRPr="00B23DEB">
        <w:t xml:space="preserve">To be precise, the prosecutor </w:t>
      </w:r>
      <w:r w:rsidR="00F73279" w:rsidRPr="00B23DEB">
        <w:t xml:space="preserve">had </w:t>
      </w:r>
      <w:r w:rsidR="00D516E0" w:rsidRPr="00B23DEB">
        <w:t xml:space="preserve">stated </w:t>
      </w:r>
      <w:r w:rsidR="00105BAB" w:rsidRPr="00B23DEB">
        <w:t xml:space="preserve">that separate </w:t>
      </w:r>
      <w:r w:rsidR="00D516E0" w:rsidRPr="00B23DEB">
        <w:t xml:space="preserve">orders </w:t>
      </w:r>
      <w:r w:rsidR="00105BAB" w:rsidRPr="00B23DEB">
        <w:t>were to be issued regarding the exhumation of each of the victims.</w:t>
      </w:r>
    </w:p>
    <w:p w:rsidR="00181422" w:rsidRPr="00B23DEB" w:rsidRDefault="00096B30" w:rsidP="00B23DEB">
      <w:pPr>
        <w:pStyle w:val="ECHRPara"/>
      </w:pPr>
      <w:r w:rsidRPr="00B23DEB">
        <w:fldChar w:fldCharType="begin"/>
      </w:r>
      <w:r w:rsidRPr="00B23DEB">
        <w:instrText xml:space="preserve"> SEQ level0 \*arabic </w:instrText>
      </w:r>
      <w:r w:rsidRPr="00B23DEB">
        <w:fldChar w:fldCharType="separate"/>
      </w:r>
      <w:r w:rsidR="006549E3">
        <w:rPr>
          <w:noProof/>
        </w:rPr>
        <w:t>89</w:t>
      </w:r>
      <w:r w:rsidRPr="00B23DEB">
        <w:fldChar w:fldCharType="end"/>
      </w:r>
      <w:r w:rsidRPr="00B23DEB">
        <w:t xml:space="preserve">.  With regard to the requirement of lawfulness, the Government stressed that the decision of 7 October 2016 </w:t>
      </w:r>
      <w:r w:rsidR="00F73279" w:rsidRPr="00B23DEB">
        <w:t xml:space="preserve">had been </w:t>
      </w:r>
      <w:r w:rsidRPr="00B23DEB">
        <w:t xml:space="preserve">not only based on clear and accessible law, namely the CCP, but </w:t>
      </w:r>
      <w:r w:rsidR="00746867" w:rsidRPr="00B23DEB">
        <w:t xml:space="preserve">had </w:t>
      </w:r>
      <w:r w:rsidRPr="00B23DEB">
        <w:t xml:space="preserve">also </w:t>
      </w:r>
      <w:r w:rsidR="00746867" w:rsidRPr="00B23DEB">
        <w:t xml:space="preserve">been </w:t>
      </w:r>
      <w:r w:rsidRPr="00B23DEB">
        <w:t xml:space="preserve">expressly required by it. </w:t>
      </w:r>
      <w:r w:rsidR="00724C0D" w:rsidRPr="00B23DEB">
        <w:t>The law oblige</w:t>
      </w:r>
      <w:r w:rsidR="00746867" w:rsidRPr="00B23DEB">
        <w:t>d</w:t>
      </w:r>
      <w:r w:rsidR="00724C0D" w:rsidRPr="00B23DEB">
        <w:t xml:space="preserve"> the prosecutor to open </w:t>
      </w:r>
      <w:r w:rsidR="00B35226" w:rsidRPr="00B23DEB">
        <w:t xml:space="preserve">an </w:t>
      </w:r>
      <w:r w:rsidR="00724C0D" w:rsidRPr="00B23DEB">
        <w:t xml:space="preserve">investigation </w:t>
      </w:r>
      <w:r w:rsidR="00746867" w:rsidRPr="00B23DEB">
        <w:t xml:space="preserve">where there was </w:t>
      </w:r>
      <w:r w:rsidR="00724C0D" w:rsidRPr="00B23DEB">
        <w:t>good reason to suspect that an offence ha</w:t>
      </w:r>
      <w:r w:rsidR="00746867" w:rsidRPr="00B23DEB">
        <w:t>d</w:t>
      </w:r>
      <w:r w:rsidR="00724C0D" w:rsidRPr="00B23DEB">
        <w:t xml:space="preserve"> been committed. Moreover, </w:t>
      </w:r>
      <w:r w:rsidR="00746867" w:rsidRPr="00B23DEB">
        <w:t xml:space="preserve">under </w:t>
      </w:r>
      <w:r w:rsidR="009D23BB" w:rsidRPr="00B23DEB">
        <w:t xml:space="preserve">Article 209 § 1 of </w:t>
      </w:r>
      <w:r w:rsidR="00724C0D" w:rsidRPr="00B23DEB">
        <w:t xml:space="preserve">the CCP, it </w:t>
      </w:r>
      <w:r w:rsidR="00746867" w:rsidRPr="00B23DEB">
        <w:t xml:space="preserve">was </w:t>
      </w:r>
      <w:r w:rsidR="00724C0D" w:rsidRPr="00B23DEB">
        <w:t xml:space="preserve">obligatory to order an autopsy if it </w:t>
      </w:r>
      <w:r w:rsidR="00746867" w:rsidRPr="00B23DEB">
        <w:t xml:space="preserve">was </w:t>
      </w:r>
      <w:r w:rsidR="00724C0D" w:rsidRPr="00B23DEB">
        <w:t>suspected that death ha</w:t>
      </w:r>
      <w:r w:rsidR="00746867" w:rsidRPr="00B23DEB">
        <w:t>d</w:t>
      </w:r>
      <w:r w:rsidR="00724C0D" w:rsidRPr="00B23DEB">
        <w:t xml:space="preserve"> been caused by criminal means. Where the victims </w:t>
      </w:r>
      <w:r w:rsidR="003718A6" w:rsidRPr="00B23DEB">
        <w:t xml:space="preserve">were </w:t>
      </w:r>
      <w:r w:rsidR="00724C0D" w:rsidRPr="00B23DEB">
        <w:t xml:space="preserve">numerous, it could be seen as discriminatory to </w:t>
      </w:r>
      <w:r w:rsidR="0052226C" w:rsidRPr="00B23DEB">
        <w:t xml:space="preserve">decide to exhume only certain bodies and </w:t>
      </w:r>
      <w:r w:rsidR="00724C0D" w:rsidRPr="00B23DEB">
        <w:t xml:space="preserve">omit others, especially if </w:t>
      </w:r>
      <w:r w:rsidR="00746867" w:rsidRPr="00B23DEB">
        <w:t xml:space="preserve">the </w:t>
      </w:r>
      <w:r w:rsidR="00724C0D" w:rsidRPr="00B23DEB">
        <w:t>cause of death could be different</w:t>
      </w:r>
      <w:r w:rsidR="00746867" w:rsidRPr="00B23DEB">
        <w:t>, as</w:t>
      </w:r>
      <w:r w:rsidR="00724C0D" w:rsidRPr="00B23DEB">
        <w:t xml:space="preserve"> in the case of an </w:t>
      </w:r>
      <w:r w:rsidR="00746867" w:rsidRPr="00B23DEB">
        <w:t xml:space="preserve">aircraft </w:t>
      </w:r>
      <w:r w:rsidR="00724C0D" w:rsidRPr="00B23DEB">
        <w:t>c</w:t>
      </w:r>
      <w:r w:rsidR="002F79B5" w:rsidRPr="00B23DEB">
        <w:t>rash</w:t>
      </w:r>
      <w:r w:rsidR="00724C0D" w:rsidRPr="00B23DEB">
        <w:t xml:space="preserve">. </w:t>
      </w:r>
      <w:r w:rsidR="009D23BB" w:rsidRPr="00B23DEB">
        <w:t xml:space="preserve">If </w:t>
      </w:r>
      <w:r w:rsidR="00746867" w:rsidRPr="00B23DEB">
        <w:t xml:space="preserve">a </w:t>
      </w:r>
      <w:r w:rsidR="00B133CA" w:rsidRPr="00B23DEB">
        <w:t>prosecutor</w:t>
      </w:r>
      <w:r w:rsidR="009D23BB" w:rsidRPr="00B23DEB">
        <w:t xml:space="preserve"> decided to </w:t>
      </w:r>
      <w:r w:rsidR="00A65B19" w:rsidRPr="00B23DEB">
        <w:t xml:space="preserve">order </w:t>
      </w:r>
      <w:r w:rsidR="009D23BB" w:rsidRPr="00B23DEB">
        <w:t xml:space="preserve">exhumations only in respect of some victims of </w:t>
      </w:r>
      <w:r w:rsidR="00746867" w:rsidRPr="00B23DEB">
        <w:t xml:space="preserve">a </w:t>
      </w:r>
      <w:r w:rsidR="009D23BB" w:rsidRPr="00B23DEB">
        <w:t xml:space="preserve">crash, </w:t>
      </w:r>
      <w:r w:rsidR="00A65B19" w:rsidRPr="00B23DEB">
        <w:t xml:space="preserve">that </w:t>
      </w:r>
      <w:r w:rsidR="009D23BB" w:rsidRPr="00B23DEB">
        <w:t xml:space="preserve">would be contrary to the </w:t>
      </w:r>
      <w:r w:rsidR="00B133CA" w:rsidRPr="00B23DEB">
        <w:t xml:space="preserve">standards </w:t>
      </w:r>
      <w:r w:rsidR="00094098" w:rsidRPr="00B23DEB">
        <w:t>of effective investigation.</w:t>
      </w:r>
    </w:p>
    <w:p w:rsidR="00181422" w:rsidRPr="00B23DEB" w:rsidRDefault="00C605F3" w:rsidP="00B23DEB">
      <w:pPr>
        <w:pStyle w:val="ECHRPara"/>
      </w:pPr>
      <w:r w:rsidRPr="00B23DEB">
        <w:fldChar w:fldCharType="begin"/>
      </w:r>
      <w:r w:rsidRPr="00B23DEB">
        <w:instrText xml:space="preserve"> SEQ level0 \*arabic </w:instrText>
      </w:r>
      <w:r w:rsidRPr="00B23DEB">
        <w:fldChar w:fldCharType="separate"/>
      </w:r>
      <w:r w:rsidR="006549E3">
        <w:rPr>
          <w:noProof/>
        </w:rPr>
        <w:t>90</w:t>
      </w:r>
      <w:r w:rsidRPr="00B23DEB">
        <w:fldChar w:fldCharType="end"/>
      </w:r>
      <w:r w:rsidRPr="00B23DEB">
        <w:t>.  </w:t>
      </w:r>
      <w:r w:rsidR="00484E51" w:rsidRPr="00B23DEB">
        <w:t xml:space="preserve">As regards </w:t>
      </w:r>
      <w:r w:rsidRPr="00B23DEB">
        <w:t xml:space="preserve">the existence of safeguards against arbitrary interferences with Article 8 of the Convention, the Government </w:t>
      </w:r>
      <w:r w:rsidR="00746867" w:rsidRPr="00B23DEB">
        <w:t xml:space="preserve">argued </w:t>
      </w:r>
      <w:r w:rsidRPr="00B23DEB">
        <w:t xml:space="preserve">that the case-law referred to by the applicants was irrelevant to the present case </w:t>
      </w:r>
      <w:r w:rsidR="00746867" w:rsidRPr="00B23DEB">
        <w:t xml:space="preserve">because there were </w:t>
      </w:r>
      <w:r w:rsidRPr="00B23DEB">
        <w:t xml:space="preserve">obvious factual differences. In addition, in the present case the interference was not of </w:t>
      </w:r>
      <w:r w:rsidR="00746867" w:rsidRPr="00B23DEB">
        <w:t xml:space="preserve">an </w:t>
      </w:r>
      <w:r w:rsidRPr="00B23DEB">
        <w:t xml:space="preserve">arbitrary nature and </w:t>
      </w:r>
      <w:r w:rsidR="00DC5978" w:rsidRPr="00B23DEB">
        <w:t xml:space="preserve">had </w:t>
      </w:r>
      <w:r w:rsidRPr="00B23DEB">
        <w:t>served important interests of justice.</w:t>
      </w:r>
    </w:p>
    <w:p w:rsidR="00C605F3" w:rsidRPr="00B23DEB" w:rsidRDefault="00C605F3" w:rsidP="00B23DEB">
      <w:pPr>
        <w:pStyle w:val="ECHRPara"/>
      </w:pPr>
      <w:r w:rsidRPr="00B23DEB">
        <w:fldChar w:fldCharType="begin"/>
      </w:r>
      <w:r w:rsidRPr="00B23DEB">
        <w:instrText xml:space="preserve"> SEQ level0 \*arabic </w:instrText>
      </w:r>
      <w:r w:rsidRPr="00B23DEB">
        <w:fldChar w:fldCharType="separate"/>
      </w:r>
      <w:r w:rsidR="006549E3">
        <w:rPr>
          <w:noProof/>
        </w:rPr>
        <w:t>91</w:t>
      </w:r>
      <w:r w:rsidRPr="00B23DEB">
        <w:fldChar w:fldCharType="end"/>
      </w:r>
      <w:r w:rsidRPr="00B23DEB">
        <w:t>.  The Government maintained that the int</w:t>
      </w:r>
      <w:r w:rsidR="009C5CE2" w:rsidRPr="00B23DEB">
        <w:t>erference at issue had served a </w:t>
      </w:r>
      <w:r w:rsidRPr="00B23DEB">
        <w:t>legitimate purpose. It was clear that the interests of national security, public safety, prevention of crime and disorder</w:t>
      </w:r>
      <w:r w:rsidR="00746867" w:rsidRPr="00B23DEB">
        <w:t>,</w:t>
      </w:r>
      <w:r w:rsidRPr="00B23DEB">
        <w:rPr>
          <w:b/>
        </w:rPr>
        <w:t xml:space="preserve"> </w:t>
      </w:r>
      <w:r w:rsidRPr="00B23DEB">
        <w:t>and the economic well-being of the country were at stake as far as the proper investigation of the crash was concerned.</w:t>
      </w:r>
    </w:p>
    <w:p w:rsidR="00181422" w:rsidRPr="00B23DEB" w:rsidRDefault="00FB2852" w:rsidP="00B23DEB">
      <w:pPr>
        <w:pStyle w:val="ECHRPara"/>
      </w:pPr>
      <w:r w:rsidRPr="00B23DEB">
        <w:fldChar w:fldCharType="begin"/>
      </w:r>
      <w:r w:rsidRPr="00B23DEB">
        <w:instrText xml:space="preserve"> SEQ level0 \*arabic </w:instrText>
      </w:r>
      <w:r w:rsidRPr="00B23DEB">
        <w:fldChar w:fldCharType="separate"/>
      </w:r>
      <w:r w:rsidR="006549E3">
        <w:rPr>
          <w:noProof/>
        </w:rPr>
        <w:t>92</w:t>
      </w:r>
      <w:r w:rsidRPr="00B23DEB">
        <w:fldChar w:fldCharType="end"/>
      </w:r>
      <w:r w:rsidRPr="00B23DEB">
        <w:t>.  </w:t>
      </w:r>
      <w:r w:rsidR="005C7495" w:rsidRPr="00B23DEB">
        <w:t xml:space="preserve">The </w:t>
      </w:r>
      <w:r w:rsidR="00752EEE" w:rsidRPr="00B23DEB">
        <w:t>interference with the applicants</w:t>
      </w:r>
      <w:r w:rsidR="00B23DEB" w:rsidRPr="00B23DEB">
        <w:t>’</w:t>
      </w:r>
      <w:r w:rsidR="00752EEE" w:rsidRPr="00B23DEB">
        <w:t xml:space="preserve"> rights </w:t>
      </w:r>
      <w:r w:rsidR="00746867" w:rsidRPr="00B23DEB">
        <w:t xml:space="preserve">had been </w:t>
      </w:r>
      <w:r w:rsidR="009E7B7C" w:rsidRPr="00B23DEB">
        <w:t xml:space="preserve">necessary in a </w:t>
      </w:r>
      <w:r w:rsidR="00752EEE" w:rsidRPr="00B23DEB">
        <w:t xml:space="preserve">democratic society. The </w:t>
      </w:r>
      <w:r w:rsidR="005C7495" w:rsidRPr="00B23DEB">
        <w:t xml:space="preserve">Government referred </w:t>
      </w:r>
      <w:r w:rsidRPr="00B23DEB">
        <w:t xml:space="preserve">to the procedural obligation under Article 2 of the </w:t>
      </w:r>
      <w:r w:rsidR="00FD54D7" w:rsidRPr="00B23DEB">
        <w:t>Convention</w:t>
      </w:r>
      <w:r w:rsidRPr="00B23DEB">
        <w:t xml:space="preserve">, which </w:t>
      </w:r>
      <w:r w:rsidR="003718A6" w:rsidRPr="00B23DEB">
        <w:t>require</w:t>
      </w:r>
      <w:r w:rsidR="00B9648A" w:rsidRPr="00B23DEB">
        <w:t>d</w:t>
      </w:r>
      <w:r w:rsidR="003718A6" w:rsidRPr="00B23DEB">
        <w:t xml:space="preserve"> </w:t>
      </w:r>
      <w:r w:rsidRPr="00B23DEB">
        <w:t xml:space="preserve">the State to carry out an effective </w:t>
      </w:r>
      <w:r w:rsidR="00FD54D7" w:rsidRPr="00B23DEB">
        <w:t>investigation</w:t>
      </w:r>
      <w:r w:rsidRPr="00B23DEB">
        <w:t xml:space="preserve"> into the death of a </w:t>
      </w:r>
      <w:r w:rsidR="00FD54D7" w:rsidRPr="00B23DEB">
        <w:t>person</w:t>
      </w:r>
      <w:r w:rsidRPr="00B23DEB">
        <w:t xml:space="preserve">. The </w:t>
      </w:r>
      <w:r w:rsidR="00FD54D7" w:rsidRPr="00B23DEB">
        <w:t xml:space="preserve">authorities conducting an inquiry must take all reasonable steps and </w:t>
      </w:r>
      <w:r w:rsidR="00746867" w:rsidRPr="00B23DEB">
        <w:t xml:space="preserve">measures </w:t>
      </w:r>
      <w:r w:rsidR="00FD54D7" w:rsidRPr="00B23DEB">
        <w:t xml:space="preserve">in order to properly investigate the suspected crime. </w:t>
      </w:r>
      <w:r w:rsidR="00591C9F" w:rsidRPr="00B23DEB">
        <w:t xml:space="preserve">Referring to the </w:t>
      </w:r>
      <w:r w:rsidR="00094098" w:rsidRPr="00B23DEB">
        <w:t xml:space="preserve">case of </w:t>
      </w:r>
      <w:r w:rsidR="009E7B7C" w:rsidRPr="00B23DEB">
        <w:rPr>
          <w:i/>
        </w:rPr>
        <w:t>Tagayeva and </w:t>
      </w:r>
      <w:r w:rsidR="00591C9F" w:rsidRPr="00B23DEB">
        <w:rPr>
          <w:i/>
        </w:rPr>
        <w:t>Others v. Russia</w:t>
      </w:r>
      <w:r w:rsidR="00591C9F" w:rsidRPr="00B23DEB">
        <w:t xml:space="preserve"> (</w:t>
      </w:r>
      <w:r w:rsidR="00A65B19" w:rsidRPr="00B23DEB">
        <w:t>cited above</w:t>
      </w:r>
      <w:r w:rsidR="00591C9F" w:rsidRPr="00B23DEB">
        <w:t xml:space="preserve">), the Government </w:t>
      </w:r>
      <w:r w:rsidR="00746867" w:rsidRPr="00B23DEB">
        <w:t xml:space="preserve">stressed </w:t>
      </w:r>
      <w:r w:rsidR="00591C9F" w:rsidRPr="00B23DEB">
        <w:t xml:space="preserve">that </w:t>
      </w:r>
      <w:r w:rsidR="00232D9E" w:rsidRPr="00B23DEB">
        <w:t xml:space="preserve">failure to carry out autopsies </w:t>
      </w:r>
      <w:r w:rsidR="00746867" w:rsidRPr="00B23DEB">
        <w:t xml:space="preserve">on </w:t>
      </w:r>
      <w:r w:rsidR="00232D9E" w:rsidRPr="00B23DEB">
        <w:t>all the victi</w:t>
      </w:r>
      <w:r w:rsidR="009E7B7C" w:rsidRPr="00B23DEB">
        <w:t>ms could lead to a finding of a </w:t>
      </w:r>
      <w:r w:rsidR="00232D9E" w:rsidRPr="00B23DEB">
        <w:t>violation of Article 2.</w:t>
      </w:r>
    </w:p>
    <w:p w:rsidR="00181422" w:rsidRPr="00B23DEB" w:rsidRDefault="00C605F3" w:rsidP="00B23DEB">
      <w:pPr>
        <w:pStyle w:val="ECHRPara"/>
      </w:pPr>
      <w:r w:rsidRPr="00B23DEB">
        <w:fldChar w:fldCharType="begin"/>
      </w:r>
      <w:r w:rsidRPr="00B23DEB">
        <w:instrText xml:space="preserve"> SEQ level0 \*arabic </w:instrText>
      </w:r>
      <w:r w:rsidRPr="00B23DEB">
        <w:fldChar w:fldCharType="separate"/>
      </w:r>
      <w:r w:rsidR="006549E3">
        <w:rPr>
          <w:noProof/>
        </w:rPr>
        <w:t>93</w:t>
      </w:r>
      <w:r w:rsidRPr="00B23DEB">
        <w:fldChar w:fldCharType="end"/>
      </w:r>
      <w:r w:rsidRPr="00B23DEB">
        <w:t>.  </w:t>
      </w:r>
      <w:r w:rsidR="00FD54D7" w:rsidRPr="00B23DEB">
        <w:t xml:space="preserve">The Government </w:t>
      </w:r>
      <w:r w:rsidR="00352831" w:rsidRPr="00B23DEB">
        <w:t>reiterated</w:t>
      </w:r>
      <w:r w:rsidR="00FD54D7" w:rsidRPr="00B23DEB">
        <w:t xml:space="preserve"> that the investigation </w:t>
      </w:r>
      <w:r w:rsidR="00363855" w:rsidRPr="00B23DEB">
        <w:t xml:space="preserve">in the present case </w:t>
      </w:r>
      <w:r w:rsidR="000C3696" w:rsidRPr="00B23DEB">
        <w:t>concern</w:t>
      </w:r>
      <w:r w:rsidR="00363855" w:rsidRPr="00B23DEB">
        <w:t xml:space="preserve">ed </w:t>
      </w:r>
      <w:r w:rsidR="00E619BB" w:rsidRPr="00B23DEB">
        <w:t xml:space="preserve">an </w:t>
      </w:r>
      <w:r w:rsidR="00363855" w:rsidRPr="00B23DEB">
        <w:t>event o</w:t>
      </w:r>
      <w:r w:rsidR="00E619BB" w:rsidRPr="00B23DEB">
        <w:t>f unprecedented gravity, in which many of the highest State officials had died, including the President of the Republic of Poland. As a consequence of</w:t>
      </w:r>
      <w:r w:rsidR="00A65B19" w:rsidRPr="00B23DEB">
        <w:t xml:space="preserve"> that incident</w:t>
      </w:r>
      <w:r w:rsidR="00E619BB" w:rsidRPr="00B23DEB">
        <w:t>, the entire functioning of the State had been affected.</w:t>
      </w:r>
      <w:r w:rsidRPr="00B23DEB">
        <w:t xml:space="preserve"> </w:t>
      </w:r>
      <w:r w:rsidR="00363855" w:rsidRPr="00B23DEB">
        <w:t>Th</w:t>
      </w:r>
      <w:r w:rsidR="00746867" w:rsidRPr="00B23DEB">
        <w:t>at</w:t>
      </w:r>
      <w:r w:rsidR="00363855" w:rsidRPr="00B23DEB">
        <w:t xml:space="preserve"> fact </w:t>
      </w:r>
      <w:r w:rsidR="000C3696" w:rsidRPr="00B23DEB">
        <w:t xml:space="preserve">warranted </w:t>
      </w:r>
      <w:r w:rsidR="00363855" w:rsidRPr="00B23DEB">
        <w:t>undertaking</w:t>
      </w:r>
      <w:r w:rsidR="000C3696" w:rsidRPr="00B23DEB">
        <w:t xml:space="preserve"> all reasonable steps in order to i</w:t>
      </w:r>
      <w:r w:rsidR="00363855" w:rsidRPr="00B23DEB">
        <w:t>nvestigate the</w:t>
      </w:r>
      <w:r w:rsidR="00A65B19" w:rsidRPr="00B23DEB">
        <w:t xml:space="preserve"> incident</w:t>
      </w:r>
      <w:r w:rsidR="00363855" w:rsidRPr="00B23DEB">
        <w:t xml:space="preserve">, including </w:t>
      </w:r>
      <w:r w:rsidR="003715F7" w:rsidRPr="00B23DEB">
        <w:t xml:space="preserve">exhumation of the </w:t>
      </w:r>
      <w:r w:rsidR="000C3696" w:rsidRPr="00B23DEB">
        <w:t xml:space="preserve">bodies of the victims. The information obtained through the </w:t>
      </w:r>
      <w:r w:rsidR="003715F7" w:rsidRPr="00B23DEB">
        <w:t>autopsies wa</w:t>
      </w:r>
      <w:r w:rsidR="0015665B" w:rsidRPr="00B23DEB">
        <w:t xml:space="preserve">s of vital importance </w:t>
      </w:r>
      <w:r w:rsidR="00746867" w:rsidRPr="00B23DEB">
        <w:t xml:space="preserve">in explaining </w:t>
      </w:r>
      <w:r w:rsidR="0015665B" w:rsidRPr="00B23DEB">
        <w:t>the causes of the crash, its course and also the causes of the victims</w:t>
      </w:r>
      <w:r w:rsidR="00B23DEB" w:rsidRPr="00B23DEB">
        <w:t>’</w:t>
      </w:r>
      <w:r w:rsidR="0015665B" w:rsidRPr="00B23DEB">
        <w:t xml:space="preserve"> death.</w:t>
      </w:r>
      <w:r w:rsidR="00B172D3" w:rsidRPr="00B23DEB">
        <w:t xml:space="preserve"> </w:t>
      </w:r>
      <w:r w:rsidR="00E619BB" w:rsidRPr="00B23DEB">
        <w:t xml:space="preserve">The crash </w:t>
      </w:r>
      <w:r w:rsidR="00746867" w:rsidRPr="00B23DEB">
        <w:t xml:space="preserve">continued to be a </w:t>
      </w:r>
      <w:r w:rsidR="00E619BB" w:rsidRPr="00B23DEB">
        <w:t>subject of public interest.</w:t>
      </w:r>
    </w:p>
    <w:p w:rsidR="00181422" w:rsidRPr="00B23DEB" w:rsidRDefault="00B172D3" w:rsidP="00B23DEB">
      <w:pPr>
        <w:pStyle w:val="ECHRPara"/>
      </w:pPr>
      <w:r w:rsidRPr="00B23DEB">
        <w:fldChar w:fldCharType="begin"/>
      </w:r>
      <w:r w:rsidRPr="00B23DEB">
        <w:instrText xml:space="preserve"> SEQ level0 \*arabic </w:instrText>
      </w:r>
      <w:r w:rsidRPr="00B23DEB">
        <w:fldChar w:fldCharType="separate"/>
      </w:r>
      <w:r w:rsidR="006549E3">
        <w:rPr>
          <w:noProof/>
        </w:rPr>
        <w:t>94</w:t>
      </w:r>
      <w:r w:rsidRPr="00B23DEB">
        <w:fldChar w:fldCharType="end"/>
      </w:r>
      <w:r w:rsidRPr="00B23DEB">
        <w:t xml:space="preserve">.  The State authorities </w:t>
      </w:r>
      <w:r w:rsidR="00B31E19" w:rsidRPr="00B23DEB">
        <w:t xml:space="preserve">had </w:t>
      </w:r>
      <w:r w:rsidR="00746867" w:rsidRPr="00B23DEB">
        <w:t xml:space="preserve">had </w:t>
      </w:r>
      <w:r w:rsidR="00B31E19" w:rsidRPr="00B23DEB">
        <w:t xml:space="preserve">to balance </w:t>
      </w:r>
      <w:r w:rsidRPr="00B23DEB">
        <w:t xml:space="preserve">the interest </w:t>
      </w:r>
      <w:r w:rsidR="00746867" w:rsidRPr="00B23DEB">
        <w:t xml:space="preserve">of </w:t>
      </w:r>
      <w:r w:rsidR="00442A30" w:rsidRPr="00B23DEB">
        <w:t xml:space="preserve">the </w:t>
      </w:r>
      <w:r w:rsidRPr="00B23DEB">
        <w:t xml:space="preserve">investigation into the circumstances of the </w:t>
      </w:r>
      <w:r w:rsidR="002F79B5" w:rsidRPr="00B23DEB">
        <w:t>crash</w:t>
      </w:r>
      <w:r w:rsidR="00746867" w:rsidRPr="00B23DEB">
        <w:t>,</w:t>
      </w:r>
      <w:r w:rsidR="002F79B5" w:rsidRPr="00B23DEB">
        <w:t xml:space="preserve"> </w:t>
      </w:r>
      <w:r w:rsidRPr="00B23DEB">
        <w:t xml:space="preserve">as required by </w:t>
      </w:r>
      <w:r w:rsidR="000623FC" w:rsidRPr="00B23DEB">
        <w:t xml:space="preserve">the procedural limb of </w:t>
      </w:r>
      <w:r w:rsidRPr="00B23DEB">
        <w:t>Article 2</w:t>
      </w:r>
      <w:r w:rsidR="00746867" w:rsidRPr="00B23DEB">
        <w:t>,</w:t>
      </w:r>
      <w:r w:rsidRPr="00B23DEB">
        <w:t xml:space="preserve"> </w:t>
      </w:r>
      <w:r w:rsidR="00A65B19" w:rsidRPr="00B23DEB">
        <w:t xml:space="preserve">against </w:t>
      </w:r>
      <w:r w:rsidRPr="00B23DEB">
        <w:t xml:space="preserve">the interest of </w:t>
      </w:r>
      <w:r w:rsidR="00746867" w:rsidRPr="00B23DEB">
        <w:t xml:space="preserve">the </w:t>
      </w:r>
      <w:r w:rsidRPr="00B23DEB">
        <w:t>family and</w:t>
      </w:r>
      <w:r w:rsidR="00097690" w:rsidRPr="00B23DEB">
        <w:t xml:space="preserve"> </w:t>
      </w:r>
      <w:r w:rsidR="00AB0520" w:rsidRPr="00B23DEB">
        <w:t>private</w:t>
      </w:r>
      <w:r w:rsidRPr="00B23DEB">
        <w:t xml:space="preserve"> life of the victims</w:t>
      </w:r>
      <w:r w:rsidR="00B23DEB" w:rsidRPr="00B23DEB">
        <w:t>’</w:t>
      </w:r>
      <w:r w:rsidRPr="00B23DEB">
        <w:t xml:space="preserve"> relatives</w:t>
      </w:r>
      <w:r w:rsidR="00746867" w:rsidRPr="00B23DEB">
        <w:t>,</w:t>
      </w:r>
      <w:r w:rsidRPr="00B23DEB">
        <w:t xml:space="preserve"> protected by Article 8 § 1</w:t>
      </w:r>
      <w:r w:rsidR="00363855" w:rsidRPr="00B23DEB">
        <w:t xml:space="preserve">. The latter interest </w:t>
      </w:r>
      <w:r w:rsidR="00A65B19" w:rsidRPr="00B23DEB">
        <w:t xml:space="preserve">could </w:t>
      </w:r>
      <w:r w:rsidRPr="00B23DEB">
        <w:t xml:space="preserve">be </w:t>
      </w:r>
      <w:r w:rsidR="00363855" w:rsidRPr="00B23DEB">
        <w:t xml:space="preserve">justifiably </w:t>
      </w:r>
      <w:r w:rsidR="00AB0520" w:rsidRPr="00B23DEB">
        <w:t>interfered</w:t>
      </w:r>
      <w:r w:rsidRPr="00B23DEB">
        <w:t xml:space="preserve"> with </w:t>
      </w:r>
      <w:r w:rsidR="009457E2" w:rsidRPr="00B23DEB">
        <w:t xml:space="preserve">where </w:t>
      </w:r>
      <w:r w:rsidR="00905D96" w:rsidRPr="00B23DEB">
        <w:t xml:space="preserve">exhumations were deemed necessary as part of </w:t>
      </w:r>
      <w:r w:rsidR="00A65B19" w:rsidRPr="00B23DEB">
        <w:t xml:space="preserve">an </w:t>
      </w:r>
      <w:r w:rsidR="00905D96" w:rsidRPr="00B23DEB">
        <w:t xml:space="preserve">ongoing investigation. The </w:t>
      </w:r>
      <w:r w:rsidR="00AB0520" w:rsidRPr="00B23DEB">
        <w:t xml:space="preserve">authorities </w:t>
      </w:r>
      <w:r w:rsidR="009457E2" w:rsidRPr="00B23DEB">
        <w:t xml:space="preserve">had </w:t>
      </w:r>
      <w:r w:rsidR="00AB0520" w:rsidRPr="00B23DEB">
        <w:t xml:space="preserve">carried out </w:t>
      </w:r>
      <w:r w:rsidR="00363855" w:rsidRPr="00B23DEB">
        <w:t xml:space="preserve">a </w:t>
      </w:r>
      <w:r w:rsidR="00AB0520" w:rsidRPr="00B23DEB">
        <w:t xml:space="preserve">balancing </w:t>
      </w:r>
      <w:r w:rsidR="00363855" w:rsidRPr="00B23DEB">
        <w:t xml:space="preserve">exercise </w:t>
      </w:r>
      <w:r w:rsidR="00AB0520" w:rsidRPr="00B23DEB">
        <w:t>and appropriately weighed the conflicting interests at hand.</w:t>
      </w:r>
    </w:p>
    <w:p w:rsidR="00181422" w:rsidRPr="00B23DEB" w:rsidRDefault="00363855" w:rsidP="00B23DEB">
      <w:pPr>
        <w:pStyle w:val="ECHRPara"/>
      </w:pPr>
      <w:r w:rsidRPr="00B23DEB">
        <w:fldChar w:fldCharType="begin"/>
      </w:r>
      <w:r w:rsidRPr="00B23DEB">
        <w:instrText xml:space="preserve"> SEQ level0 \*arabic </w:instrText>
      </w:r>
      <w:r w:rsidRPr="00B23DEB">
        <w:fldChar w:fldCharType="separate"/>
      </w:r>
      <w:r w:rsidR="006549E3">
        <w:rPr>
          <w:noProof/>
        </w:rPr>
        <w:t>95</w:t>
      </w:r>
      <w:r w:rsidRPr="00B23DEB">
        <w:fldChar w:fldCharType="end"/>
      </w:r>
      <w:r w:rsidRPr="00B23DEB">
        <w:t>.  </w:t>
      </w:r>
      <w:r w:rsidR="00423FFC" w:rsidRPr="00B23DEB">
        <w:t xml:space="preserve">With regard to the rationale behind the provisions of the CCP in so far as they </w:t>
      </w:r>
      <w:r w:rsidR="009457E2" w:rsidRPr="00B23DEB">
        <w:t xml:space="preserve">did </w:t>
      </w:r>
      <w:r w:rsidR="00423FFC" w:rsidRPr="00B23DEB">
        <w:t xml:space="preserve">not offer a possibility of </w:t>
      </w:r>
      <w:r w:rsidR="009457E2" w:rsidRPr="00B23DEB">
        <w:t xml:space="preserve">lodging </w:t>
      </w:r>
      <w:r w:rsidR="00423FFC" w:rsidRPr="00B23DEB">
        <w:t xml:space="preserve">an </w:t>
      </w:r>
      <w:r w:rsidRPr="00B23DEB">
        <w:t xml:space="preserve">interlocutory </w:t>
      </w:r>
      <w:r w:rsidR="00423FFC" w:rsidRPr="00B23DEB">
        <w:t>appeal against the prosecutor</w:t>
      </w:r>
      <w:r w:rsidR="00B23DEB" w:rsidRPr="00B23DEB">
        <w:t>’</w:t>
      </w:r>
      <w:r w:rsidR="00423FFC" w:rsidRPr="00B23DEB">
        <w:t xml:space="preserve">s decision </w:t>
      </w:r>
      <w:r w:rsidRPr="00B23DEB">
        <w:t xml:space="preserve">ordering </w:t>
      </w:r>
      <w:r w:rsidR="00423FFC" w:rsidRPr="00B23DEB">
        <w:t>exhumation, the Government submitted that prosecutor</w:t>
      </w:r>
      <w:r w:rsidR="00BF07AC" w:rsidRPr="00B23DEB">
        <w:t>s</w:t>
      </w:r>
      <w:r w:rsidR="00423FFC" w:rsidRPr="00B23DEB">
        <w:t>, being the authority responsibl</w:t>
      </w:r>
      <w:r w:rsidRPr="00B23DEB">
        <w:t xml:space="preserve">e for conducting </w:t>
      </w:r>
      <w:r w:rsidR="00423FFC" w:rsidRPr="00B23DEB">
        <w:t>investigation</w:t>
      </w:r>
      <w:r w:rsidR="00BF07AC" w:rsidRPr="00B23DEB">
        <w:t>s</w:t>
      </w:r>
      <w:r w:rsidR="00423FFC" w:rsidRPr="00B23DEB">
        <w:t xml:space="preserve"> into suspected crimes, </w:t>
      </w:r>
      <w:r w:rsidR="009457E2" w:rsidRPr="00B23DEB">
        <w:t xml:space="preserve">took </w:t>
      </w:r>
      <w:r w:rsidR="00423FFC" w:rsidRPr="00B23DEB">
        <w:t xml:space="preserve">independent decisions based on already established facts and </w:t>
      </w:r>
      <w:r w:rsidR="00BF07AC" w:rsidRPr="00B23DEB">
        <w:t xml:space="preserve">their </w:t>
      </w:r>
      <w:r w:rsidR="00423FFC" w:rsidRPr="00B23DEB">
        <w:t xml:space="preserve">professional experience. </w:t>
      </w:r>
      <w:r w:rsidR="009457E2" w:rsidRPr="00B23DEB">
        <w:t>P</w:t>
      </w:r>
      <w:r w:rsidR="00491AB0" w:rsidRPr="00B23DEB">
        <w:t>rosecutor</w:t>
      </w:r>
      <w:r w:rsidR="009457E2" w:rsidRPr="00B23DEB">
        <w:t>s</w:t>
      </w:r>
      <w:r w:rsidR="00491AB0" w:rsidRPr="00B23DEB">
        <w:t xml:space="preserve"> </w:t>
      </w:r>
      <w:r w:rsidR="009457E2" w:rsidRPr="00B23DEB">
        <w:t xml:space="preserve">were </w:t>
      </w:r>
      <w:r w:rsidR="00491AB0" w:rsidRPr="00B23DEB">
        <w:t xml:space="preserve">afforded a range of discretionary powers for the purpose of achieving </w:t>
      </w:r>
      <w:r w:rsidR="00C0346D" w:rsidRPr="00B23DEB">
        <w:t xml:space="preserve">the </w:t>
      </w:r>
      <w:r w:rsidR="00491AB0" w:rsidRPr="00B23DEB">
        <w:t xml:space="preserve">aim of </w:t>
      </w:r>
      <w:r w:rsidR="009457E2" w:rsidRPr="00B23DEB">
        <w:t xml:space="preserve">an </w:t>
      </w:r>
      <w:r w:rsidR="00491AB0" w:rsidRPr="00B23DEB">
        <w:t>investigation.</w:t>
      </w:r>
    </w:p>
    <w:p w:rsidR="00181422" w:rsidRPr="00B23DEB" w:rsidRDefault="00FC25BB" w:rsidP="00B23DEB">
      <w:pPr>
        <w:pStyle w:val="ECHRPara"/>
      </w:pPr>
      <w:r w:rsidRPr="00B23DEB">
        <w:fldChar w:fldCharType="begin"/>
      </w:r>
      <w:r w:rsidRPr="00B23DEB">
        <w:instrText xml:space="preserve"> SEQ level0 \*arabic </w:instrText>
      </w:r>
      <w:r w:rsidRPr="00B23DEB">
        <w:fldChar w:fldCharType="separate"/>
      </w:r>
      <w:r w:rsidR="006549E3">
        <w:rPr>
          <w:noProof/>
        </w:rPr>
        <w:t>96</w:t>
      </w:r>
      <w:r w:rsidRPr="00B23DEB">
        <w:fldChar w:fldCharType="end"/>
      </w:r>
      <w:r w:rsidRPr="00B23DEB">
        <w:t>.  The legislature</w:t>
      </w:r>
      <w:r w:rsidR="00554A9D" w:rsidRPr="00B23DEB">
        <w:t xml:space="preserve">, </w:t>
      </w:r>
      <w:r w:rsidRPr="00B23DEB">
        <w:t xml:space="preserve">being aware that certain </w:t>
      </w:r>
      <w:r w:rsidR="00554A9D" w:rsidRPr="00B23DEB">
        <w:t xml:space="preserve">private </w:t>
      </w:r>
      <w:r w:rsidRPr="00B23DEB">
        <w:t>interest</w:t>
      </w:r>
      <w:r w:rsidR="00554A9D" w:rsidRPr="00B23DEB">
        <w:t>s</w:t>
      </w:r>
      <w:r w:rsidRPr="00B23DEB">
        <w:t xml:space="preserve"> would clash with the public interest p</w:t>
      </w:r>
      <w:r w:rsidR="00554A9D" w:rsidRPr="00B23DEB">
        <w:t xml:space="preserve">ursued </w:t>
      </w:r>
      <w:r w:rsidRPr="00B23DEB">
        <w:t xml:space="preserve">by </w:t>
      </w:r>
      <w:r w:rsidR="009457E2" w:rsidRPr="00B23DEB">
        <w:t xml:space="preserve">a </w:t>
      </w:r>
      <w:r w:rsidRPr="00B23DEB">
        <w:t>prosecutor</w:t>
      </w:r>
      <w:r w:rsidR="00554A9D" w:rsidRPr="00B23DEB">
        <w:t xml:space="preserve">, </w:t>
      </w:r>
      <w:r w:rsidR="009457E2" w:rsidRPr="00B23DEB">
        <w:t xml:space="preserve">had </w:t>
      </w:r>
      <w:r w:rsidRPr="00B23DEB">
        <w:t xml:space="preserve">excluded the possibility of </w:t>
      </w:r>
      <w:r w:rsidR="009457E2" w:rsidRPr="00B23DEB">
        <w:t xml:space="preserve">lodging </w:t>
      </w:r>
      <w:r w:rsidRPr="00B23DEB">
        <w:t xml:space="preserve">an </w:t>
      </w:r>
      <w:r w:rsidR="00554A9D" w:rsidRPr="00B23DEB">
        <w:t xml:space="preserve">interlocutory </w:t>
      </w:r>
      <w:r w:rsidRPr="00B23DEB">
        <w:t xml:space="preserve">appeal against such decisions </w:t>
      </w:r>
      <w:r w:rsidR="009457E2" w:rsidRPr="00B23DEB">
        <w:t xml:space="preserve">by </w:t>
      </w:r>
      <w:r w:rsidRPr="00B23DEB">
        <w:t>prosecutor</w:t>
      </w:r>
      <w:r w:rsidR="00BF07AC" w:rsidRPr="00B23DEB">
        <w:t>s</w:t>
      </w:r>
      <w:r w:rsidRPr="00B23DEB">
        <w:t xml:space="preserve">. </w:t>
      </w:r>
      <w:r w:rsidR="00554A9D" w:rsidRPr="00B23DEB">
        <w:t xml:space="preserve">Otherwise, </w:t>
      </w:r>
      <w:r w:rsidR="00BF07AC" w:rsidRPr="00B23DEB">
        <w:t xml:space="preserve">a </w:t>
      </w:r>
      <w:r w:rsidRPr="00B23DEB">
        <w:t>prosecutor</w:t>
      </w:r>
      <w:r w:rsidR="00B23DEB" w:rsidRPr="00B23DEB">
        <w:t>’</w:t>
      </w:r>
      <w:r w:rsidRPr="00B23DEB">
        <w:t xml:space="preserve">s action would often </w:t>
      </w:r>
      <w:r w:rsidR="009457E2" w:rsidRPr="00B23DEB">
        <w:t xml:space="preserve">be </w:t>
      </w:r>
      <w:r w:rsidRPr="00B23DEB">
        <w:t xml:space="preserve">paralysed by numerous appeals </w:t>
      </w:r>
      <w:r w:rsidR="009457E2" w:rsidRPr="00B23DEB">
        <w:t xml:space="preserve">lodged by </w:t>
      </w:r>
      <w:r w:rsidRPr="00B23DEB">
        <w:t xml:space="preserve">unsatisfied parties to the case, who would feel that their rights </w:t>
      </w:r>
      <w:r w:rsidR="009457E2" w:rsidRPr="00B23DEB">
        <w:t xml:space="preserve">were being </w:t>
      </w:r>
      <w:r w:rsidRPr="00B23DEB">
        <w:t xml:space="preserve">interfered with. </w:t>
      </w:r>
      <w:r w:rsidR="00677764" w:rsidRPr="00B23DEB">
        <w:t xml:space="preserve">Only </w:t>
      </w:r>
      <w:r w:rsidR="009457E2" w:rsidRPr="00B23DEB">
        <w:t xml:space="preserve">if prosecutors were allowed to undertake </w:t>
      </w:r>
      <w:r w:rsidR="00D1076D" w:rsidRPr="00B23DEB">
        <w:t xml:space="preserve">procedural decisions </w:t>
      </w:r>
      <w:r w:rsidR="009457E2" w:rsidRPr="00B23DEB">
        <w:t xml:space="preserve">unhindered </w:t>
      </w:r>
      <w:r w:rsidR="00D1076D" w:rsidRPr="00B23DEB">
        <w:t xml:space="preserve">in the course of an ongoing investigation </w:t>
      </w:r>
      <w:r w:rsidR="009457E2" w:rsidRPr="00B23DEB">
        <w:t xml:space="preserve">could </w:t>
      </w:r>
      <w:r w:rsidR="00D1076D" w:rsidRPr="00B23DEB">
        <w:t>the public interest of prevention of crime and punishment of perpetrators be met. Nonetheless, the balancing of the two conflicting interest</w:t>
      </w:r>
      <w:r w:rsidR="009457E2" w:rsidRPr="00B23DEB">
        <w:t>s</w:t>
      </w:r>
      <w:r w:rsidR="00D1076D" w:rsidRPr="00B23DEB">
        <w:t xml:space="preserve"> </w:t>
      </w:r>
      <w:r w:rsidR="00C605F3" w:rsidRPr="00B23DEB">
        <w:t>was</w:t>
      </w:r>
      <w:r w:rsidR="00D1076D" w:rsidRPr="00B23DEB">
        <w:t xml:space="preserve"> carried out by prosecutor</w:t>
      </w:r>
      <w:r w:rsidR="009457E2" w:rsidRPr="00B23DEB">
        <w:t>s</w:t>
      </w:r>
      <w:r w:rsidR="00D1076D" w:rsidRPr="00B23DEB">
        <w:t xml:space="preserve"> within the remit of </w:t>
      </w:r>
      <w:r w:rsidR="009457E2" w:rsidRPr="00B23DEB">
        <w:t xml:space="preserve">their </w:t>
      </w:r>
      <w:r w:rsidR="00D1076D" w:rsidRPr="00B23DEB">
        <w:t>competences.</w:t>
      </w:r>
    </w:p>
    <w:p w:rsidR="00181422" w:rsidRPr="00B23DEB" w:rsidRDefault="00752EEE" w:rsidP="00B23DEB">
      <w:pPr>
        <w:pStyle w:val="ECHRPara"/>
      </w:pPr>
      <w:r w:rsidRPr="00B23DEB">
        <w:fldChar w:fldCharType="begin"/>
      </w:r>
      <w:r w:rsidRPr="00B23DEB">
        <w:instrText xml:space="preserve"> SEQ level0 \*arabic </w:instrText>
      </w:r>
      <w:r w:rsidRPr="00B23DEB">
        <w:fldChar w:fldCharType="separate"/>
      </w:r>
      <w:r w:rsidR="006549E3">
        <w:rPr>
          <w:noProof/>
        </w:rPr>
        <w:t>97</w:t>
      </w:r>
      <w:r w:rsidRPr="00B23DEB">
        <w:fldChar w:fldCharType="end"/>
      </w:r>
      <w:r w:rsidRPr="00B23DEB">
        <w:t>.  </w:t>
      </w:r>
      <w:r w:rsidR="00CA707C" w:rsidRPr="00B23DEB">
        <w:t xml:space="preserve">The </w:t>
      </w:r>
      <w:r w:rsidR="00DC55C1" w:rsidRPr="00B23DEB">
        <w:t xml:space="preserve">aim of the </w:t>
      </w:r>
      <w:r w:rsidR="001D05C5" w:rsidRPr="00B23DEB">
        <w:t>prosecutor</w:t>
      </w:r>
      <w:r w:rsidR="00B23DEB" w:rsidRPr="00B23DEB">
        <w:t>’</w:t>
      </w:r>
      <w:r w:rsidR="001D05C5" w:rsidRPr="00B23DEB">
        <w:t xml:space="preserve">s actions </w:t>
      </w:r>
      <w:r w:rsidR="009457E2" w:rsidRPr="00B23DEB">
        <w:t xml:space="preserve">in the present case had been </w:t>
      </w:r>
      <w:r w:rsidR="001D05C5" w:rsidRPr="00B23DEB">
        <w:t xml:space="preserve">at least twofold. His decision </w:t>
      </w:r>
      <w:r w:rsidR="00042365" w:rsidRPr="00B23DEB">
        <w:t xml:space="preserve">of 7 October 2016 </w:t>
      </w:r>
      <w:r w:rsidR="001D05C5" w:rsidRPr="00B23DEB">
        <w:t xml:space="preserve">purported to </w:t>
      </w:r>
      <w:r w:rsidR="009457E2" w:rsidRPr="00B23DEB">
        <w:t xml:space="preserve">help explain </w:t>
      </w:r>
      <w:r w:rsidR="001D05C5" w:rsidRPr="00B23DEB">
        <w:t>both the cause of the c</w:t>
      </w:r>
      <w:r w:rsidR="00B35226" w:rsidRPr="00B23DEB">
        <w:t xml:space="preserve">rash </w:t>
      </w:r>
      <w:r w:rsidR="00557F65" w:rsidRPr="00B23DEB">
        <w:t>and the cause of death</w:t>
      </w:r>
      <w:r w:rsidR="00E046B4" w:rsidRPr="00B23DEB">
        <w:t>,</w:t>
      </w:r>
      <w:r w:rsidR="00557F65" w:rsidRPr="00B23DEB">
        <w:t xml:space="preserve"> as well as </w:t>
      </w:r>
      <w:r w:rsidR="00E046B4" w:rsidRPr="00B23DEB">
        <w:t xml:space="preserve">to verify the </w:t>
      </w:r>
      <w:r w:rsidR="00557F65" w:rsidRPr="00B23DEB">
        <w:t>identity of</w:t>
      </w:r>
      <w:r w:rsidRPr="00B23DEB">
        <w:t xml:space="preserve"> the victims. T</w:t>
      </w:r>
      <w:r w:rsidR="00603C68" w:rsidRPr="00B23DEB">
        <w:t xml:space="preserve">he prosecutor </w:t>
      </w:r>
      <w:r w:rsidR="00636872" w:rsidRPr="00B23DEB">
        <w:t xml:space="preserve">had </w:t>
      </w:r>
      <w:r w:rsidR="00603C68" w:rsidRPr="00B23DEB">
        <w:t>explained that the autopsies carried out by the Russian authorities had proven to be erroneous or incomplete. Taking into account the high stakes of the investigation, the prosecutor had had no alternative but to appoint new experts and demand that a new and comprehensive for</w:t>
      </w:r>
      <w:r w:rsidR="00827E78" w:rsidRPr="00B23DEB">
        <w:t xml:space="preserve">ensic expert opinion </w:t>
      </w:r>
      <w:r w:rsidR="00E046B4" w:rsidRPr="00B23DEB">
        <w:t xml:space="preserve">be </w:t>
      </w:r>
      <w:r w:rsidR="00827E78" w:rsidRPr="00B23DEB">
        <w:t>issued.</w:t>
      </w:r>
    </w:p>
    <w:p w:rsidR="00181422" w:rsidRPr="00B23DEB" w:rsidRDefault="00827E78" w:rsidP="00B23DEB">
      <w:pPr>
        <w:pStyle w:val="ECHRPara"/>
      </w:pPr>
      <w:r w:rsidRPr="00B23DEB">
        <w:fldChar w:fldCharType="begin"/>
      </w:r>
      <w:r w:rsidRPr="00B23DEB">
        <w:instrText xml:space="preserve"> SEQ level0 \*arabic </w:instrText>
      </w:r>
      <w:r w:rsidRPr="00B23DEB">
        <w:fldChar w:fldCharType="separate"/>
      </w:r>
      <w:r w:rsidR="006549E3">
        <w:rPr>
          <w:noProof/>
        </w:rPr>
        <w:t>98</w:t>
      </w:r>
      <w:r w:rsidRPr="00B23DEB">
        <w:fldChar w:fldCharType="end"/>
      </w:r>
      <w:r w:rsidRPr="00B23DEB">
        <w:t xml:space="preserve">.  Only a proper identification of all </w:t>
      </w:r>
      <w:r w:rsidR="00E046B4" w:rsidRPr="00B23DEB">
        <w:t xml:space="preserve">the </w:t>
      </w:r>
      <w:r w:rsidRPr="00B23DEB">
        <w:t>remains of the victims would enable their relatives to fully enjoy their right to respect for the memory of the deceased</w:t>
      </w:r>
      <w:r w:rsidR="00636872" w:rsidRPr="00B23DEB">
        <w:t>,</w:t>
      </w:r>
      <w:r w:rsidRPr="00B23DEB">
        <w:t xml:space="preserve"> and honour and respect for the burial. </w:t>
      </w:r>
      <w:r w:rsidR="00E046B4" w:rsidRPr="00B23DEB">
        <w:t>It was in t</w:t>
      </w:r>
      <w:r w:rsidRPr="00B23DEB">
        <w:t>he applicants</w:t>
      </w:r>
      <w:r w:rsidR="00B23DEB" w:rsidRPr="00B23DEB">
        <w:t>’</w:t>
      </w:r>
      <w:r w:rsidRPr="00B23DEB">
        <w:t xml:space="preserve"> interest to ensure that they could respect the memory of their late husbands whilst visiting the graves where their remains </w:t>
      </w:r>
      <w:r w:rsidR="00E046B4" w:rsidRPr="00B23DEB">
        <w:t xml:space="preserve">had been </w:t>
      </w:r>
      <w:r w:rsidRPr="00B23DEB">
        <w:t xml:space="preserve">laid. The only way to ensure the respect </w:t>
      </w:r>
      <w:r w:rsidR="00E046B4" w:rsidRPr="00B23DEB">
        <w:t xml:space="preserve">for that </w:t>
      </w:r>
      <w:r w:rsidRPr="00B23DEB">
        <w:t>interest was to make sure that the remains buried in each grave belong</w:t>
      </w:r>
      <w:r w:rsidR="00E046B4" w:rsidRPr="00B23DEB">
        <w:t>ed</w:t>
      </w:r>
      <w:r w:rsidRPr="00B23DEB">
        <w:t xml:space="preserve"> to the person believed to have been buried there. </w:t>
      </w:r>
      <w:r w:rsidR="00752EEE" w:rsidRPr="00B23DEB">
        <w:t>This necessitated carrying out DNA tests on the victims</w:t>
      </w:r>
      <w:r w:rsidR="00B23DEB" w:rsidRPr="00B23DEB">
        <w:t>’</w:t>
      </w:r>
      <w:r w:rsidR="00752EEE" w:rsidRPr="00B23DEB">
        <w:t xml:space="preserve"> remains.</w:t>
      </w:r>
    </w:p>
    <w:p w:rsidR="00181422" w:rsidRPr="00B23DEB" w:rsidRDefault="00752EEE" w:rsidP="00B23DEB">
      <w:pPr>
        <w:pStyle w:val="ECHRPara"/>
      </w:pPr>
      <w:r w:rsidRPr="00B23DEB">
        <w:fldChar w:fldCharType="begin"/>
      </w:r>
      <w:r w:rsidRPr="00B23DEB">
        <w:instrText xml:space="preserve"> SEQ level0 \*arabic </w:instrText>
      </w:r>
      <w:r w:rsidRPr="00B23DEB">
        <w:fldChar w:fldCharType="separate"/>
      </w:r>
      <w:r w:rsidR="006549E3">
        <w:rPr>
          <w:noProof/>
        </w:rPr>
        <w:t>99</w:t>
      </w:r>
      <w:r w:rsidRPr="00B23DEB">
        <w:fldChar w:fldCharType="end"/>
      </w:r>
      <w:r w:rsidRPr="00B23DEB">
        <w:t>.  </w:t>
      </w:r>
      <w:r w:rsidR="0028491C" w:rsidRPr="00B23DEB">
        <w:t xml:space="preserve">The Government disagreed that there had been no justification </w:t>
      </w:r>
      <w:r w:rsidR="00E046B4" w:rsidRPr="00B23DEB">
        <w:t xml:space="preserve">for </w:t>
      </w:r>
      <w:r w:rsidR="0028491C" w:rsidRPr="00B23DEB">
        <w:t>carry</w:t>
      </w:r>
      <w:r w:rsidR="00E046B4" w:rsidRPr="00B23DEB">
        <w:t>ing</w:t>
      </w:r>
      <w:r w:rsidR="0028491C" w:rsidRPr="00B23DEB">
        <w:t xml:space="preserve"> out the </w:t>
      </w:r>
      <w:r w:rsidR="00406DEB" w:rsidRPr="00B23DEB">
        <w:t>exhumations</w:t>
      </w:r>
      <w:r w:rsidR="0028491C" w:rsidRPr="00B23DEB">
        <w:t xml:space="preserve"> against the will of the </w:t>
      </w:r>
      <w:r w:rsidR="00406DEB" w:rsidRPr="00B23DEB">
        <w:t>families</w:t>
      </w:r>
      <w:r w:rsidR="0028491C" w:rsidRPr="00B23DEB">
        <w:t xml:space="preserve"> </w:t>
      </w:r>
      <w:r w:rsidR="00E046B4" w:rsidRPr="00B23DEB">
        <w:t xml:space="preserve">owing </w:t>
      </w:r>
      <w:r w:rsidR="0028491C" w:rsidRPr="00B23DEB">
        <w:t xml:space="preserve">both to the lapse of time since the crash and the lack of autopsies carried out by the </w:t>
      </w:r>
      <w:r w:rsidR="00406DEB" w:rsidRPr="00B23DEB">
        <w:t>Polish</w:t>
      </w:r>
      <w:r w:rsidR="0028491C" w:rsidRPr="00B23DEB">
        <w:t xml:space="preserve"> authorities prior to the </w:t>
      </w:r>
      <w:r w:rsidR="00406DEB" w:rsidRPr="00B23DEB">
        <w:t>burial</w:t>
      </w:r>
      <w:r w:rsidR="0028491C" w:rsidRPr="00B23DEB">
        <w:t xml:space="preserve"> of the victims.</w:t>
      </w:r>
    </w:p>
    <w:p w:rsidR="00181422" w:rsidRPr="00B23DEB" w:rsidRDefault="00BE3D01" w:rsidP="00B23DEB">
      <w:pPr>
        <w:pStyle w:val="ECHRPara"/>
      </w:pPr>
      <w:r w:rsidRPr="00B23DEB">
        <w:fldChar w:fldCharType="begin"/>
      </w:r>
      <w:r w:rsidRPr="00B23DEB">
        <w:instrText xml:space="preserve"> SEQ level0 \*arabic </w:instrText>
      </w:r>
      <w:r w:rsidRPr="00B23DEB">
        <w:fldChar w:fldCharType="separate"/>
      </w:r>
      <w:r w:rsidR="006549E3">
        <w:rPr>
          <w:noProof/>
        </w:rPr>
        <w:t>100</w:t>
      </w:r>
      <w:r w:rsidRPr="00B23DEB">
        <w:fldChar w:fldCharType="end"/>
      </w:r>
      <w:r w:rsidRPr="00B23DEB">
        <w:t>.  </w:t>
      </w:r>
      <w:r w:rsidR="00752EEE" w:rsidRPr="00B23DEB">
        <w:t>Contrary to the applicants</w:t>
      </w:r>
      <w:r w:rsidR="00B23DEB" w:rsidRPr="00B23DEB">
        <w:t>’</w:t>
      </w:r>
      <w:r w:rsidR="00752EEE" w:rsidRPr="00B23DEB">
        <w:t xml:space="preserve"> statements, the prosecutor had show</w:t>
      </w:r>
      <w:r w:rsidR="00E046B4" w:rsidRPr="00B23DEB">
        <w:t>n</w:t>
      </w:r>
      <w:r w:rsidR="00752EEE" w:rsidRPr="00B23DEB">
        <w:t xml:space="preserve"> willingness to consult with the victims</w:t>
      </w:r>
      <w:r w:rsidR="00B23DEB" w:rsidRPr="00B23DEB">
        <w:t>’</w:t>
      </w:r>
      <w:r w:rsidR="00752EEE" w:rsidRPr="00B23DEB">
        <w:t xml:space="preserve"> relatives prior to </w:t>
      </w:r>
      <w:r w:rsidR="00E046B4" w:rsidRPr="00B23DEB">
        <w:t xml:space="preserve">issuing an </w:t>
      </w:r>
      <w:r w:rsidR="00752EEE" w:rsidRPr="00B23DEB">
        <w:t>exhumation order in respect of each particular victim</w:t>
      </w:r>
      <w:r w:rsidR="00E046B4" w:rsidRPr="00B23DEB">
        <w:t>.</w:t>
      </w:r>
      <w:r w:rsidR="00752EEE" w:rsidRPr="00B23DEB">
        <w:t xml:space="preserve"> This </w:t>
      </w:r>
      <w:r w:rsidR="00442A30" w:rsidRPr="00B23DEB">
        <w:t xml:space="preserve">demonstrated </w:t>
      </w:r>
      <w:r w:rsidR="00752EEE" w:rsidRPr="00B23DEB">
        <w:t xml:space="preserve">that the prosecutor had not only </w:t>
      </w:r>
      <w:r w:rsidR="00E046B4" w:rsidRPr="00B23DEB">
        <w:t xml:space="preserve">been </w:t>
      </w:r>
      <w:r w:rsidR="00752EEE" w:rsidRPr="00B23DEB">
        <w:t>aware of the applicants</w:t>
      </w:r>
      <w:r w:rsidR="00B23DEB" w:rsidRPr="00B23DEB">
        <w:t>’</w:t>
      </w:r>
      <w:r w:rsidR="00752EEE" w:rsidRPr="00B23DEB">
        <w:t xml:space="preserve"> interests, but had also taken active steps to ensure that the applicants</w:t>
      </w:r>
      <w:r w:rsidR="00B23DEB" w:rsidRPr="00B23DEB">
        <w:t>’</w:t>
      </w:r>
      <w:r w:rsidR="00752EEE" w:rsidRPr="00B23DEB">
        <w:t xml:space="preserve"> doubts were cleared and the reasons for </w:t>
      </w:r>
      <w:r w:rsidR="00636872" w:rsidRPr="00B23DEB">
        <w:t xml:space="preserve">his </w:t>
      </w:r>
      <w:r w:rsidR="00752EEE" w:rsidRPr="00B23DEB">
        <w:t>decision properly explained.</w:t>
      </w:r>
    </w:p>
    <w:p w:rsidR="00181422" w:rsidRPr="00B23DEB" w:rsidRDefault="00C7382B" w:rsidP="00B23DEB">
      <w:pPr>
        <w:pStyle w:val="ECHRHeading3"/>
      </w:pPr>
      <w:r w:rsidRPr="00B23DEB">
        <w:t>3.  </w:t>
      </w:r>
      <w:r w:rsidR="0047394D" w:rsidRPr="00B23DEB">
        <w:t>The Court</w:t>
      </w:r>
      <w:r w:rsidR="00B23DEB" w:rsidRPr="00B23DEB">
        <w:t>’</w:t>
      </w:r>
      <w:r w:rsidR="0047394D" w:rsidRPr="00B23DEB">
        <w:t>s assessment</w:t>
      </w:r>
    </w:p>
    <w:p w:rsidR="00181422" w:rsidRPr="00B23DEB" w:rsidRDefault="00C7382B" w:rsidP="00B23DEB">
      <w:pPr>
        <w:pStyle w:val="ECHRHeading4"/>
      </w:pPr>
      <w:r w:rsidRPr="00B23DEB">
        <w:t>(a)  </w:t>
      </w:r>
      <w:r w:rsidR="00AB3AFE" w:rsidRPr="00B23DEB">
        <w:t>Applicability o</w:t>
      </w:r>
      <w:r w:rsidR="00C61FEC" w:rsidRPr="00B23DEB">
        <w:t>f Article 8</w:t>
      </w:r>
    </w:p>
    <w:p w:rsidR="00181422" w:rsidRPr="00B23DEB" w:rsidRDefault="00AB3AFE" w:rsidP="00B23DEB">
      <w:pPr>
        <w:pStyle w:val="ECHRPara"/>
      </w:pPr>
      <w:r w:rsidRPr="00B23DEB">
        <w:fldChar w:fldCharType="begin"/>
      </w:r>
      <w:r w:rsidRPr="00B23DEB">
        <w:instrText xml:space="preserve"> SEQ level0 \*arabic </w:instrText>
      </w:r>
      <w:r w:rsidRPr="00B23DEB">
        <w:fldChar w:fldCharType="separate"/>
      </w:r>
      <w:r w:rsidR="006549E3">
        <w:rPr>
          <w:noProof/>
        </w:rPr>
        <w:t>101</w:t>
      </w:r>
      <w:r w:rsidRPr="00B23DEB">
        <w:fldChar w:fldCharType="end"/>
      </w:r>
      <w:r w:rsidRPr="00B23DEB">
        <w:t>.  </w:t>
      </w:r>
      <w:r w:rsidR="006D530A" w:rsidRPr="00B23DEB">
        <w:t>T</w:t>
      </w:r>
      <w:r w:rsidR="00AB47C9" w:rsidRPr="00B23DEB">
        <w:t>he Government did not contest that the applicants</w:t>
      </w:r>
      <w:r w:rsidR="00B23DEB" w:rsidRPr="00B23DEB">
        <w:t>’</w:t>
      </w:r>
      <w:r w:rsidR="00AB47C9" w:rsidRPr="00B23DEB">
        <w:t xml:space="preserve"> right to respect for the memory of the</w:t>
      </w:r>
      <w:r w:rsidR="006D530A" w:rsidRPr="00B23DEB">
        <w:t>ir</w:t>
      </w:r>
      <w:r w:rsidR="00AB47C9" w:rsidRPr="00B23DEB">
        <w:t xml:space="preserve"> deceased family member</w:t>
      </w:r>
      <w:r w:rsidR="006D530A" w:rsidRPr="00B23DEB">
        <w:t>s</w:t>
      </w:r>
      <w:r w:rsidR="00AB47C9" w:rsidRPr="00B23DEB">
        <w:t xml:space="preserve"> </w:t>
      </w:r>
      <w:r w:rsidR="00C6022A" w:rsidRPr="00B23DEB">
        <w:t>attracted the pr</w:t>
      </w:r>
      <w:r w:rsidR="009455AF" w:rsidRPr="00B23DEB">
        <w:t>otection of Article 8 § 1</w:t>
      </w:r>
      <w:r w:rsidR="00AB47C9" w:rsidRPr="00B23DEB">
        <w:t>.</w:t>
      </w:r>
    </w:p>
    <w:p w:rsidR="00181422" w:rsidRPr="00B23DEB" w:rsidRDefault="00C61FEC" w:rsidP="00B23DEB">
      <w:pPr>
        <w:pStyle w:val="ECHRPara"/>
      </w:pPr>
      <w:r w:rsidRPr="00B23DEB">
        <w:fldChar w:fldCharType="begin"/>
      </w:r>
      <w:r w:rsidRPr="00B23DEB">
        <w:instrText xml:space="preserve"> SEQ level0 \*arabic </w:instrText>
      </w:r>
      <w:r w:rsidRPr="00B23DEB">
        <w:fldChar w:fldCharType="separate"/>
      </w:r>
      <w:r w:rsidR="006549E3">
        <w:rPr>
          <w:noProof/>
        </w:rPr>
        <w:t>102</w:t>
      </w:r>
      <w:r w:rsidRPr="00B23DEB">
        <w:fldChar w:fldCharType="end"/>
      </w:r>
      <w:r w:rsidRPr="00B23DEB">
        <w:t xml:space="preserve">.  The applicants </w:t>
      </w:r>
      <w:r w:rsidR="00B91348" w:rsidRPr="00B23DEB">
        <w:t xml:space="preserve">agreed </w:t>
      </w:r>
      <w:r w:rsidR="00A63B16" w:rsidRPr="00B23DEB">
        <w:t xml:space="preserve">that Article 8 § 1 was applicable, but </w:t>
      </w:r>
      <w:r w:rsidR="002F58CB" w:rsidRPr="00B23DEB">
        <w:t xml:space="preserve">argued, contrary to the Government, </w:t>
      </w:r>
      <w:r w:rsidR="00A63B16" w:rsidRPr="00B23DEB">
        <w:t>that the right</w:t>
      </w:r>
      <w:r w:rsidR="009E7B7C" w:rsidRPr="00B23DEB">
        <w:t xml:space="preserve"> to respect for the memory of a </w:t>
      </w:r>
      <w:r w:rsidR="00A63B16" w:rsidRPr="00B23DEB">
        <w:t xml:space="preserve">late relative </w:t>
      </w:r>
      <w:r w:rsidR="00636872" w:rsidRPr="00B23DEB">
        <w:t xml:space="preserve">should </w:t>
      </w:r>
      <w:r w:rsidR="00A63B16" w:rsidRPr="00B23DEB">
        <w:t>be considered part of family life.</w:t>
      </w:r>
    </w:p>
    <w:p w:rsidR="00181422" w:rsidRPr="00B23DEB" w:rsidRDefault="00A63B16" w:rsidP="00B23DEB">
      <w:pPr>
        <w:pStyle w:val="ECHRPara"/>
      </w:pPr>
      <w:r w:rsidRPr="00B23DEB">
        <w:fldChar w:fldCharType="begin"/>
      </w:r>
      <w:r w:rsidRPr="00B23DEB">
        <w:instrText xml:space="preserve"> SEQ level0 \*arabic </w:instrText>
      </w:r>
      <w:r w:rsidRPr="00B23DEB">
        <w:fldChar w:fldCharType="separate"/>
      </w:r>
      <w:r w:rsidR="006549E3">
        <w:rPr>
          <w:noProof/>
        </w:rPr>
        <w:t>103</w:t>
      </w:r>
      <w:r w:rsidRPr="00B23DEB">
        <w:fldChar w:fldCharType="end"/>
      </w:r>
      <w:r w:rsidRPr="00B23DEB">
        <w:t xml:space="preserve">.  The </w:t>
      </w:r>
      <w:r w:rsidR="00A404A9" w:rsidRPr="00B23DEB">
        <w:t>present case raises an issue of applicability of Article 8 §</w:t>
      </w:r>
      <w:r w:rsidR="004D4077" w:rsidRPr="00B23DEB">
        <w:t xml:space="preserve"> 1 to </w:t>
      </w:r>
      <w:r w:rsidR="00636872" w:rsidRPr="00B23DEB">
        <w:t xml:space="preserve">the </w:t>
      </w:r>
      <w:r w:rsidR="004D4077" w:rsidRPr="00B23DEB">
        <w:t xml:space="preserve">exhumation of </w:t>
      </w:r>
      <w:r w:rsidR="00567912" w:rsidRPr="00B23DEB">
        <w:t>a deceased</w:t>
      </w:r>
      <w:r w:rsidR="00486C7F" w:rsidRPr="00B23DEB">
        <w:t xml:space="preserve"> person</w:t>
      </w:r>
      <w:r w:rsidR="004D4077" w:rsidRPr="00B23DEB">
        <w:t xml:space="preserve"> against the will of the family </w:t>
      </w:r>
      <w:r w:rsidR="00567912" w:rsidRPr="00B23DEB">
        <w:t xml:space="preserve">members </w:t>
      </w:r>
      <w:r w:rsidR="004D4077" w:rsidRPr="00B23DEB">
        <w:t xml:space="preserve">in the context of criminal proceedings. The Court has not yet </w:t>
      </w:r>
      <w:r w:rsidR="00567912" w:rsidRPr="00B23DEB">
        <w:t xml:space="preserve">specifically </w:t>
      </w:r>
      <w:r w:rsidR="004D4077" w:rsidRPr="00B23DEB">
        <w:t>addressed this question</w:t>
      </w:r>
      <w:r w:rsidR="00486C7F" w:rsidRPr="00B23DEB">
        <w:t xml:space="preserve"> in its case-law</w:t>
      </w:r>
      <w:r w:rsidR="004D4077" w:rsidRPr="00B23DEB">
        <w:t>.</w:t>
      </w:r>
    </w:p>
    <w:p w:rsidR="00181422" w:rsidRPr="00B23DEB" w:rsidRDefault="00AD4DB7" w:rsidP="00B23DEB">
      <w:pPr>
        <w:pStyle w:val="ECHRPara"/>
      </w:pPr>
      <w:r w:rsidRPr="00B23DEB">
        <w:fldChar w:fldCharType="begin"/>
      </w:r>
      <w:r w:rsidRPr="00B23DEB">
        <w:instrText xml:space="preserve"> SEQ level0 \*arabic </w:instrText>
      </w:r>
      <w:r w:rsidRPr="00B23DEB">
        <w:fldChar w:fldCharType="separate"/>
      </w:r>
      <w:r w:rsidR="006549E3">
        <w:rPr>
          <w:noProof/>
        </w:rPr>
        <w:t>104</w:t>
      </w:r>
      <w:r w:rsidRPr="00B23DEB">
        <w:fldChar w:fldCharType="end"/>
      </w:r>
      <w:r w:rsidRPr="00B23DEB">
        <w:t>.  </w:t>
      </w:r>
      <w:r w:rsidR="003F19AF" w:rsidRPr="00B23DEB">
        <w:t>The Court o</w:t>
      </w:r>
      <w:r w:rsidR="00DF3B6A" w:rsidRPr="00B23DEB">
        <w:t xml:space="preserve">bserves </w:t>
      </w:r>
      <w:r w:rsidR="003F19AF" w:rsidRPr="00B23DEB">
        <w:t xml:space="preserve">in this context </w:t>
      </w:r>
      <w:r w:rsidR="00116073" w:rsidRPr="00B23DEB">
        <w:t>that the exercise of Article </w:t>
      </w:r>
      <w:r w:rsidR="00DF3B6A" w:rsidRPr="00B23DEB">
        <w:t xml:space="preserve">8 rights </w:t>
      </w:r>
      <w:r w:rsidR="00486C7F" w:rsidRPr="00B23DEB">
        <w:t xml:space="preserve">concerning </w:t>
      </w:r>
      <w:r w:rsidR="00DF3B6A" w:rsidRPr="00B23DEB">
        <w:t xml:space="preserve">family and private life pertain, predominantly, to relationships between living human beings. However, it is not excluded that respect for family and private life extends to certain situations after death (see </w:t>
      </w:r>
      <w:r w:rsidR="00DF3B6A" w:rsidRPr="00B23DEB">
        <w:rPr>
          <w:i/>
        </w:rPr>
        <w:t>Jones v. United Kingdom</w:t>
      </w:r>
      <w:r w:rsidR="00C7382B" w:rsidRPr="00B23DEB">
        <w:t xml:space="preserve"> (dec.), no. </w:t>
      </w:r>
      <w:r w:rsidR="00DF3B6A" w:rsidRPr="00B23DEB">
        <w:t>42639/04, 13 September 2005).</w:t>
      </w:r>
    </w:p>
    <w:p w:rsidR="00181422" w:rsidRPr="00B23DEB" w:rsidRDefault="003C2CB8" w:rsidP="00B23DEB">
      <w:pPr>
        <w:pStyle w:val="ECHRPara"/>
        <w:rPr>
          <w:snapToGrid w:val="0"/>
        </w:rPr>
      </w:pPr>
      <w:r w:rsidRPr="00B23DEB">
        <w:fldChar w:fldCharType="begin"/>
      </w:r>
      <w:r w:rsidRPr="00B23DEB">
        <w:instrText xml:space="preserve"> SEQ level0 \*arabic </w:instrText>
      </w:r>
      <w:r w:rsidRPr="00B23DEB">
        <w:fldChar w:fldCharType="separate"/>
      </w:r>
      <w:r w:rsidR="006549E3">
        <w:rPr>
          <w:noProof/>
        </w:rPr>
        <w:t>105</w:t>
      </w:r>
      <w:r w:rsidRPr="00B23DEB">
        <w:fldChar w:fldCharType="end"/>
      </w:r>
      <w:r w:rsidRPr="00B23DEB">
        <w:t>.  </w:t>
      </w:r>
      <w:r w:rsidR="005B7CC6" w:rsidRPr="00B23DEB">
        <w:t xml:space="preserve">In the cases of </w:t>
      </w:r>
      <w:r w:rsidR="005B7CC6" w:rsidRPr="00B23DEB">
        <w:rPr>
          <w:i/>
        </w:rPr>
        <w:t>Pannullo and Forte</w:t>
      </w:r>
      <w:r w:rsidR="005B7CC6" w:rsidRPr="00B23DEB">
        <w:t xml:space="preserve"> (</w:t>
      </w:r>
      <w:r w:rsidR="00CF09B2" w:rsidRPr="00B23DEB">
        <w:t>cited above</w:t>
      </w:r>
      <w:r w:rsidR="005B7CC6" w:rsidRPr="00B23DEB">
        <w:t xml:space="preserve">, §§ 35-36) and </w:t>
      </w:r>
      <w:r w:rsidR="005B7CC6" w:rsidRPr="00B23DEB">
        <w:rPr>
          <w:i/>
        </w:rPr>
        <w:t xml:space="preserve">Girard </w:t>
      </w:r>
      <w:r w:rsidR="005B7CC6" w:rsidRPr="00B23DEB">
        <w:t>(</w:t>
      </w:r>
      <w:r w:rsidR="00CF09B2" w:rsidRPr="00B23DEB">
        <w:t>cited above</w:t>
      </w:r>
      <w:r w:rsidR="005B7CC6" w:rsidRPr="00B23DEB">
        <w:rPr>
          <w:lang w:val="pt-BR"/>
        </w:rPr>
        <w:t xml:space="preserve">, § 107) </w:t>
      </w:r>
      <w:r w:rsidR="005B7CC6" w:rsidRPr="00B23DEB">
        <w:t xml:space="preserve">the Court recognised that an excessive delay in </w:t>
      </w:r>
      <w:r w:rsidR="00F40721" w:rsidRPr="00B23DEB">
        <w:t xml:space="preserve">returning a </w:t>
      </w:r>
      <w:r w:rsidR="007B7351" w:rsidRPr="00B23DEB">
        <w:t>deceased child</w:t>
      </w:r>
      <w:r w:rsidR="00B23DEB" w:rsidRPr="00B23DEB">
        <w:t>’</w:t>
      </w:r>
      <w:r w:rsidR="007B7351" w:rsidRPr="00B23DEB">
        <w:t xml:space="preserve">s </w:t>
      </w:r>
      <w:r w:rsidR="005B7CC6" w:rsidRPr="00B23DEB">
        <w:t xml:space="preserve">body </w:t>
      </w:r>
      <w:r w:rsidR="00FD273A" w:rsidRPr="00B23DEB">
        <w:t xml:space="preserve">to the parents for a funeral </w:t>
      </w:r>
      <w:r w:rsidR="005B7CC6" w:rsidRPr="00B23DEB">
        <w:t xml:space="preserve">or </w:t>
      </w:r>
      <w:r w:rsidR="00CF09B2" w:rsidRPr="00B23DEB">
        <w:t xml:space="preserve">in returning </w:t>
      </w:r>
      <w:r w:rsidR="005B7CC6" w:rsidRPr="00B23DEB">
        <w:t xml:space="preserve">bodily samples on completion of the relevant criminal proceedings may constitute an interference with both the “private life” and the “family life” of the surviving family members. </w:t>
      </w:r>
      <w:r w:rsidR="00327DF9" w:rsidRPr="00B23DEB">
        <w:t xml:space="preserve">In the case of </w:t>
      </w:r>
      <w:r w:rsidR="009102E6" w:rsidRPr="00B23DEB">
        <w:rPr>
          <w:i/>
        </w:rPr>
        <w:t>Płoski v. Poland</w:t>
      </w:r>
      <w:r w:rsidR="009E7B7C" w:rsidRPr="00B23DEB">
        <w:t xml:space="preserve"> (no. </w:t>
      </w:r>
      <w:r w:rsidR="009102E6" w:rsidRPr="00B23DEB">
        <w:t xml:space="preserve">26761/95, § 32, 12 November 2002), a refusal </w:t>
      </w:r>
      <w:r w:rsidR="009E7B7C" w:rsidRPr="00B23DEB">
        <w:t>to allow the applicant, a </w:t>
      </w:r>
      <w:r w:rsidR="00FD273A" w:rsidRPr="00B23DEB">
        <w:t>prisoner, t</w:t>
      </w:r>
      <w:r w:rsidR="009102E6" w:rsidRPr="00B23DEB">
        <w:t xml:space="preserve">o attend </w:t>
      </w:r>
      <w:r w:rsidR="00CF09B2" w:rsidRPr="00B23DEB">
        <w:t xml:space="preserve">the </w:t>
      </w:r>
      <w:r w:rsidR="00FD273A" w:rsidRPr="00B23DEB">
        <w:t xml:space="preserve">funeral of </w:t>
      </w:r>
      <w:r w:rsidR="00636872" w:rsidRPr="00B23DEB">
        <w:t xml:space="preserve">his </w:t>
      </w:r>
      <w:r w:rsidR="00FD273A" w:rsidRPr="00B23DEB">
        <w:t>close relative</w:t>
      </w:r>
      <w:r w:rsidR="002F58CB" w:rsidRPr="00B23DEB">
        <w:t>s</w:t>
      </w:r>
      <w:r w:rsidR="00FD273A" w:rsidRPr="00B23DEB">
        <w:t xml:space="preserve"> was found to constitute an interference with the right to respect for his private and family life. </w:t>
      </w:r>
      <w:r w:rsidR="005B7CC6" w:rsidRPr="00B23DEB">
        <w:t xml:space="preserve">In the case of </w:t>
      </w:r>
      <w:r w:rsidR="005B7CC6" w:rsidRPr="00B23DEB">
        <w:rPr>
          <w:i/>
        </w:rPr>
        <w:t>Elli Poluhas Dödsbo v. Sweden</w:t>
      </w:r>
      <w:r w:rsidR="005B7CC6" w:rsidRPr="00B23DEB">
        <w:t xml:space="preserve"> (no. 61564/00, § 24, ECHR 2006</w:t>
      </w:r>
      <w:r w:rsidR="005B7CC6" w:rsidRPr="00B23DEB">
        <w:noBreakHyphen/>
        <w:t>I) the Court found that the refusal to transfer an urn containing the ashes of the applicant</w:t>
      </w:r>
      <w:r w:rsidR="00B23DEB" w:rsidRPr="00B23DEB">
        <w:t>’</w:t>
      </w:r>
      <w:r w:rsidR="005B7CC6" w:rsidRPr="00B23DEB">
        <w:t>s husband could also be seen as fall</w:t>
      </w:r>
      <w:r w:rsidR="00C7382B" w:rsidRPr="00B23DEB">
        <w:t>ing within the ambit of Article </w:t>
      </w:r>
      <w:r w:rsidR="005B7CC6" w:rsidRPr="00B23DEB">
        <w:t>8</w:t>
      </w:r>
      <w:r w:rsidR="007D4FF0" w:rsidRPr="00B23DEB">
        <w:t xml:space="preserve">, without however stating whether the interference found related to the concept of private life or family life. </w:t>
      </w:r>
      <w:r w:rsidR="00CD7BB6" w:rsidRPr="00B23DEB">
        <w:t>I</w:t>
      </w:r>
      <w:r w:rsidR="005B7CC6" w:rsidRPr="00B23DEB">
        <w:t xml:space="preserve">n the case of </w:t>
      </w:r>
      <w:r w:rsidR="00C7382B" w:rsidRPr="00B23DEB">
        <w:rPr>
          <w:i/>
        </w:rPr>
        <w:t>Hadri</w:t>
      </w:r>
      <w:r w:rsidR="00C7382B" w:rsidRPr="00B23DEB">
        <w:rPr>
          <w:i/>
        </w:rPr>
        <w:noBreakHyphen/>
        <w:t>Vionnet v. </w:t>
      </w:r>
      <w:r w:rsidR="005B7CC6" w:rsidRPr="00B23DEB">
        <w:rPr>
          <w:i/>
        </w:rPr>
        <w:t>Switzerland</w:t>
      </w:r>
      <w:r w:rsidR="005B7CC6" w:rsidRPr="00B23DEB">
        <w:t xml:space="preserve"> (no. 55525/00, § 52, 14 February 2008) the Court decided that the possibility for the applicant to be present at the funeral of her stillborn child, along with the related transfer and ceremonial arrangements, was also capable of falling within the ambit of Article 8.</w:t>
      </w:r>
      <w:r w:rsidR="00567912" w:rsidRPr="00B23DEB">
        <w:t xml:space="preserve"> </w:t>
      </w:r>
      <w:r w:rsidR="00931751" w:rsidRPr="00B23DEB">
        <w:t xml:space="preserve">In the case of </w:t>
      </w:r>
      <w:r w:rsidR="00931751" w:rsidRPr="00B23DEB">
        <w:rPr>
          <w:i/>
        </w:rPr>
        <w:t>Sabanchiyeva and Others v. Russia</w:t>
      </w:r>
      <w:r w:rsidR="00931751" w:rsidRPr="00B23DEB">
        <w:t xml:space="preserve"> (no. 38450/05</w:t>
      </w:r>
      <w:r w:rsidR="00931751" w:rsidRPr="00B23DEB">
        <w:rPr>
          <w:snapToGrid w:val="0"/>
        </w:rPr>
        <w:t xml:space="preserve">, § </w:t>
      </w:r>
      <w:r w:rsidR="009D0D04" w:rsidRPr="00B23DEB">
        <w:rPr>
          <w:snapToGrid w:val="0"/>
        </w:rPr>
        <w:t>122-23</w:t>
      </w:r>
      <w:r w:rsidR="00931751" w:rsidRPr="00B23DEB">
        <w:rPr>
          <w:snapToGrid w:val="0"/>
        </w:rPr>
        <w:t xml:space="preserve">, </w:t>
      </w:r>
      <w:r w:rsidR="00931751" w:rsidRPr="00B23DEB">
        <w:t xml:space="preserve">ECHR 2013 (extracts)), the Court </w:t>
      </w:r>
      <w:r w:rsidR="009D0D04" w:rsidRPr="00B23DEB">
        <w:t>accepted that the refusal to return the bodies of the applicants</w:t>
      </w:r>
      <w:r w:rsidR="00B23DEB" w:rsidRPr="00B23DEB">
        <w:t>’</w:t>
      </w:r>
      <w:r w:rsidR="009D0D04" w:rsidRPr="00B23DEB">
        <w:t xml:space="preserve"> relatives, </w:t>
      </w:r>
      <w:r w:rsidR="007E3BAD" w:rsidRPr="00B23DEB">
        <w:t>alleged terrorists</w:t>
      </w:r>
      <w:r w:rsidR="009D0D04" w:rsidRPr="00B23DEB">
        <w:t xml:space="preserve">, </w:t>
      </w:r>
      <w:r w:rsidR="007E3BAD" w:rsidRPr="00B23DEB">
        <w:t xml:space="preserve">and their burial in an unspecified location </w:t>
      </w:r>
      <w:r w:rsidR="00CF09B2" w:rsidRPr="00B23DEB">
        <w:t xml:space="preserve">had </w:t>
      </w:r>
      <w:r w:rsidR="0037585A" w:rsidRPr="00B23DEB">
        <w:t>amounted to interference with the relatives</w:t>
      </w:r>
      <w:r w:rsidR="00B23DEB" w:rsidRPr="00B23DEB">
        <w:t>’</w:t>
      </w:r>
      <w:r w:rsidR="0037585A" w:rsidRPr="00B23DEB">
        <w:t xml:space="preserve"> “private life” and “family life”. </w:t>
      </w:r>
      <w:r w:rsidR="007E3BAD" w:rsidRPr="00B23DEB">
        <w:t>In the case</w:t>
      </w:r>
      <w:r w:rsidR="00971786" w:rsidRPr="00B23DEB">
        <w:t>s</w:t>
      </w:r>
      <w:r w:rsidR="007E3BAD" w:rsidRPr="00B23DEB">
        <w:t xml:space="preserve"> of </w:t>
      </w:r>
      <w:r w:rsidR="007E3BAD" w:rsidRPr="00B23DEB">
        <w:rPr>
          <w:i/>
        </w:rPr>
        <w:t>Petrova v. Latvia</w:t>
      </w:r>
      <w:r w:rsidR="007E3BAD" w:rsidRPr="00B23DEB">
        <w:t xml:space="preserve"> (no. 4605/05</w:t>
      </w:r>
      <w:r w:rsidR="007E3BAD" w:rsidRPr="00B23DEB">
        <w:rPr>
          <w:snapToGrid w:val="0"/>
        </w:rPr>
        <w:t xml:space="preserve">, § 77, </w:t>
      </w:r>
      <w:r w:rsidR="007E3BAD" w:rsidRPr="00B23DEB">
        <w:t>24</w:t>
      </w:r>
      <w:r w:rsidR="007E3BAD" w:rsidRPr="00B23DEB">
        <w:rPr>
          <w:snapToGrid w:val="0"/>
        </w:rPr>
        <w:t xml:space="preserve"> June 2014)</w:t>
      </w:r>
      <w:r w:rsidR="00971786" w:rsidRPr="00B23DEB">
        <w:rPr>
          <w:snapToGrid w:val="0"/>
        </w:rPr>
        <w:t xml:space="preserve"> and </w:t>
      </w:r>
      <w:r w:rsidR="00971786" w:rsidRPr="00B23DEB">
        <w:rPr>
          <w:i/>
        </w:rPr>
        <w:t>Elberte v. Latvia</w:t>
      </w:r>
      <w:r w:rsidR="00971786" w:rsidRPr="00B23DEB">
        <w:t xml:space="preserve"> (no. 61243/08</w:t>
      </w:r>
      <w:r w:rsidR="00971786" w:rsidRPr="00B23DEB">
        <w:rPr>
          <w:snapToGrid w:val="0"/>
        </w:rPr>
        <w:t xml:space="preserve">, § 89, ECHR 2015), </w:t>
      </w:r>
      <w:r w:rsidR="004550C7" w:rsidRPr="00B23DEB">
        <w:rPr>
          <w:snapToGrid w:val="0"/>
        </w:rPr>
        <w:t xml:space="preserve">the Court recognised that </w:t>
      </w:r>
      <w:r w:rsidR="00CF09B2" w:rsidRPr="00B23DEB">
        <w:rPr>
          <w:snapToGrid w:val="0"/>
        </w:rPr>
        <w:t xml:space="preserve">the </w:t>
      </w:r>
      <w:r w:rsidR="00A76089" w:rsidRPr="00B23DEB">
        <w:t xml:space="preserve">removal of </w:t>
      </w:r>
      <w:r w:rsidR="00CF09B2" w:rsidRPr="00B23DEB">
        <w:t>a deceased relative</w:t>
      </w:r>
      <w:r w:rsidR="00B23DEB" w:rsidRPr="00B23DEB">
        <w:t>’</w:t>
      </w:r>
      <w:r w:rsidR="00CF09B2" w:rsidRPr="00B23DEB">
        <w:t xml:space="preserve">s </w:t>
      </w:r>
      <w:r w:rsidR="00A76089" w:rsidRPr="00B23DEB">
        <w:t xml:space="preserve">organs </w:t>
      </w:r>
      <w:r w:rsidR="00971786" w:rsidRPr="00B23DEB">
        <w:t xml:space="preserve">or tissues </w:t>
      </w:r>
      <w:r w:rsidR="00A76089" w:rsidRPr="00B23DEB">
        <w:t xml:space="preserve">without consent </w:t>
      </w:r>
      <w:r w:rsidR="00FE0B1C" w:rsidRPr="00B23DEB">
        <w:t xml:space="preserve">came within the scope of </w:t>
      </w:r>
      <w:r w:rsidR="00CF09B2" w:rsidRPr="00B23DEB">
        <w:t xml:space="preserve">the </w:t>
      </w:r>
      <w:r w:rsidR="00971786" w:rsidRPr="00B23DEB">
        <w:t>“private life” of the surviving family member</w:t>
      </w:r>
      <w:r w:rsidR="00567912" w:rsidRPr="00B23DEB">
        <w:t>s</w:t>
      </w:r>
      <w:r w:rsidR="00971786" w:rsidRPr="00B23DEB">
        <w:t xml:space="preserve">. </w:t>
      </w:r>
      <w:r w:rsidR="006B7C4E" w:rsidRPr="00B23DEB">
        <w:t xml:space="preserve">In the case of </w:t>
      </w:r>
      <w:r w:rsidR="006B7C4E" w:rsidRPr="00B23DEB">
        <w:rPr>
          <w:i/>
          <w:iCs/>
        </w:rPr>
        <w:t>Lozovyye v. Russia</w:t>
      </w:r>
      <w:r w:rsidR="006B7C4E" w:rsidRPr="00B23DEB">
        <w:rPr>
          <w:lang w:eastAsia="en-GB"/>
        </w:rPr>
        <w:t>, (</w:t>
      </w:r>
      <w:r w:rsidR="006B7C4E" w:rsidRPr="00B23DEB">
        <w:rPr>
          <w:lang w:val="en-US"/>
        </w:rPr>
        <w:t xml:space="preserve">no. </w:t>
      </w:r>
      <w:r w:rsidR="006B7C4E" w:rsidRPr="00B23DEB">
        <w:t>4587/09</w:t>
      </w:r>
      <w:r w:rsidR="006B7C4E" w:rsidRPr="00B23DEB">
        <w:rPr>
          <w:lang w:eastAsia="en-GB"/>
        </w:rPr>
        <w:t xml:space="preserve">, </w:t>
      </w:r>
      <w:r w:rsidR="00116073" w:rsidRPr="00B23DEB">
        <w:rPr>
          <w:snapToGrid w:val="0"/>
        </w:rPr>
        <w:t>§ </w:t>
      </w:r>
      <w:r w:rsidR="009E7B7C" w:rsidRPr="00B23DEB">
        <w:rPr>
          <w:snapToGrid w:val="0"/>
        </w:rPr>
        <w:t>34, 24 </w:t>
      </w:r>
      <w:r w:rsidR="006B7C4E" w:rsidRPr="00B23DEB">
        <w:rPr>
          <w:snapToGrid w:val="0"/>
        </w:rPr>
        <w:t>April 2018), the Court held that the applicants</w:t>
      </w:r>
      <w:r w:rsidR="00B23DEB" w:rsidRPr="00B23DEB">
        <w:rPr>
          <w:snapToGrid w:val="0"/>
        </w:rPr>
        <w:t>’</w:t>
      </w:r>
      <w:r w:rsidR="006B7C4E" w:rsidRPr="00B23DEB">
        <w:rPr>
          <w:snapToGrid w:val="0"/>
        </w:rPr>
        <w:t xml:space="preserve"> right to respect for their private and family li</w:t>
      </w:r>
      <w:r w:rsidR="001A6C79" w:rsidRPr="00B23DEB">
        <w:rPr>
          <w:snapToGrid w:val="0"/>
        </w:rPr>
        <w:t>fe</w:t>
      </w:r>
      <w:r w:rsidR="006B7C4E" w:rsidRPr="00B23DEB">
        <w:rPr>
          <w:snapToGrid w:val="0"/>
        </w:rPr>
        <w:t xml:space="preserve"> had been affected by the failure of the State to inform them of their son</w:t>
      </w:r>
      <w:r w:rsidR="00B23DEB" w:rsidRPr="00B23DEB">
        <w:rPr>
          <w:snapToGrid w:val="0"/>
        </w:rPr>
        <w:t>’</w:t>
      </w:r>
      <w:r w:rsidR="006B7C4E" w:rsidRPr="00B23DEB">
        <w:rPr>
          <w:snapToGrid w:val="0"/>
        </w:rPr>
        <w:t>s death before he had been buried.</w:t>
      </w:r>
    </w:p>
    <w:p w:rsidR="00181422" w:rsidRPr="00B23DEB" w:rsidRDefault="003A30E6" w:rsidP="00B23DEB">
      <w:pPr>
        <w:pStyle w:val="ECHRPara"/>
      </w:pPr>
      <w:r w:rsidRPr="00B23DEB">
        <w:fldChar w:fldCharType="begin"/>
      </w:r>
      <w:r w:rsidRPr="00B23DEB">
        <w:instrText xml:space="preserve"> SEQ level0 \*arabic </w:instrText>
      </w:r>
      <w:r w:rsidRPr="00B23DEB">
        <w:fldChar w:fldCharType="separate"/>
      </w:r>
      <w:r w:rsidR="006549E3">
        <w:rPr>
          <w:noProof/>
        </w:rPr>
        <w:t>106</w:t>
      </w:r>
      <w:r w:rsidRPr="00B23DEB">
        <w:fldChar w:fldCharType="end"/>
      </w:r>
      <w:r w:rsidRPr="00B23DEB">
        <w:t xml:space="preserve">.  The </w:t>
      </w:r>
      <w:r w:rsidR="00744A1E" w:rsidRPr="00B23DEB">
        <w:t>above-mentioned case-law d</w:t>
      </w:r>
      <w:r w:rsidR="002C258F" w:rsidRPr="00B23DEB">
        <w:t>emonstrate</w:t>
      </w:r>
      <w:r w:rsidR="00744A1E" w:rsidRPr="00B23DEB">
        <w:t>s</w:t>
      </w:r>
      <w:r w:rsidR="003C2CB8" w:rsidRPr="00B23DEB">
        <w:t xml:space="preserve"> that </w:t>
      </w:r>
      <w:r w:rsidR="00946AD3" w:rsidRPr="00B23DEB">
        <w:t xml:space="preserve">certain </w:t>
      </w:r>
      <w:r w:rsidR="00744A1E" w:rsidRPr="00B23DEB">
        <w:t xml:space="preserve">issues related to the </w:t>
      </w:r>
      <w:r w:rsidR="00CF09B2" w:rsidRPr="00B23DEB">
        <w:t>way in which the</w:t>
      </w:r>
      <w:r w:rsidR="00744A1E" w:rsidRPr="00B23DEB">
        <w:t xml:space="preserve"> body of a deceased relative </w:t>
      </w:r>
      <w:r w:rsidR="00CF09B2" w:rsidRPr="00B23DEB">
        <w:t xml:space="preserve">was treated, </w:t>
      </w:r>
      <w:r w:rsidR="00C63203" w:rsidRPr="00B23DEB">
        <w:t xml:space="preserve">as well as issues regarding the </w:t>
      </w:r>
      <w:r w:rsidR="00C665CC" w:rsidRPr="00B23DEB">
        <w:t xml:space="preserve">ability </w:t>
      </w:r>
      <w:r w:rsidR="00C63203" w:rsidRPr="00B23DEB">
        <w:t xml:space="preserve">to </w:t>
      </w:r>
      <w:r w:rsidR="00CF09B2" w:rsidRPr="00B23DEB">
        <w:t xml:space="preserve">attend the </w:t>
      </w:r>
      <w:r w:rsidR="00C63203" w:rsidRPr="00B23DEB">
        <w:t>burial and pay</w:t>
      </w:r>
      <w:r w:rsidR="00DF3B6A" w:rsidRPr="00B23DEB">
        <w:t xml:space="preserve"> </w:t>
      </w:r>
      <w:r w:rsidR="00C63203" w:rsidRPr="00B23DEB">
        <w:t xml:space="preserve">respects </w:t>
      </w:r>
      <w:r w:rsidR="00636872" w:rsidRPr="00B23DEB">
        <w:t>at</w:t>
      </w:r>
      <w:r w:rsidR="00C63203" w:rsidRPr="00B23DEB">
        <w:t xml:space="preserve"> </w:t>
      </w:r>
      <w:r w:rsidR="00CF09B2" w:rsidRPr="00B23DEB">
        <w:t xml:space="preserve">the </w:t>
      </w:r>
      <w:r w:rsidR="00C63203" w:rsidRPr="00B23DEB">
        <w:t>grave</w:t>
      </w:r>
      <w:r w:rsidR="002F58CB" w:rsidRPr="00B23DEB">
        <w:t xml:space="preserve"> </w:t>
      </w:r>
      <w:r w:rsidR="00C63203" w:rsidRPr="00B23DEB">
        <w:t xml:space="preserve">of a relative have been recognised </w:t>
      </w:r>
      <w:r w:rsidR="00CF09B2" w:rsidRPr="00B23DEB">
        <w:t xml:space="preserve">as coming </w:t>
      </w:r>
      <w:r w:rsidR="00C63203" w:rsidRPr="00B23DEB">
        <w:t xml:space="preserve">within the scope of </w:t>
      </w:r>
      <w:r w:rsidR="00BF5CE2" w:rsidRPr="00B23DEB">
        <w:t xml:space="preserve">the right to respect for </w:t>
      </w:r>
      <w:r w:rsidR="009F5D9E" w:rsidRPr="00B23DEB">
        <w:t xml:space="preserve">family </w:t>
      </w:r>
      <w:r w:rsidR="00BF5CE2" w:rsidRPr="00B23DEB">
        <w:t xml:space="preserve">or </w:t>
      </w:r>
      <w:r w:rsidR="009F5D9E" w:rsidRPr="00B23DEB">
        <w:t xml:space="preserve">private </w:t>
      </w:r>
      <w:r w:rsidR="00BF5CE2" w:rsidRPr="00B23DEB">
        <w:t xml:space="preserve">life </w:t>
      </w:r>
      <w:r w:rsidR="00CF09B2" w:rsidRPr="00B23DEB">
        <w:t>under</w:t>
      </w:r>
      <w:r w:rsidR="00E01C87" w:rsidRPr="00B23DEB">
        <w:t xml:space="preserve"> </w:t>
      </w:r>
      <w:r w:rsidR="00C63203" w:rsidRPr="00B23DEB">
        <w:t>Article 8.</w:t>
      </w:r>
    </w:p>
    <w:p w:rsidR="00181422" w:rsidRPr="00B23DEB" w:rsidRDefault="00DF3B6A" w:rsidP="00B23DEB">
      <w:pPr>
        <w:pStyle w:val="ECHRPara"/>
      </w:pPr>
      <w:r w:rsidRPr="00B23DEB">
        <w:fldChar w:fldCharType="begin"/>
      </w:r>
      <w:r w:rsidRPr="00B23DEB">
        <w:instrText xml:space="preserve"> SEQ level0 \*arabic </w:instrText>
      </w:r>
      <w:r w:rsidRPr="00B23DEB">
        <w:fldChar w:fldCharType="separate"/>
      </w:r>
      <w:r w:rsidR="006549E3">
        <w:rPr>
          <w:noProof/>
        </w:rPr>
        <w:t>107</w:t>
      </w:r>
      <w:r w:rsidRPr="00B23DEB">
        <w:fldChar w:fldCharType="end"/>
      </w:r>
      <w:r w:rsidRPr="00B23DEB">
        <w:t>.  </w:t>
      </w:r>
      <w:r w:rsidR="00065EFB" w:rsidRPr="00B23DEB">
        <w:t>The applicants relied in the instant case on their right to respect for the memory of a late relative (</w:t>
      </w:r>
      <w:r w:rsidR="00065EFB" w:rsidRPr="00B23DEB">
        <w:rPr>
          <w:i/>
        </w:rPr>
        <w:t>kult osoby zmarłej</w:t>
      </w:r>
      <w:r w:rsidR="00065EFB" w:rsidRPr="00B23DEB">
        <w:t>)</w:t>
      </w:r>
      <w:r w:rsidR="00CF09B2" w:rsidRPr="00B23DEB">
        <w:t>,</w:t>
      </w:r>
      <w:r w:rsidR="00021B30" w:rsidRPr="00B23DEB">
        <w:t xml:space="preserve"> which, in their view, </w:t>
      </w:r>
      <w:r w:rsidR="007E5FA1" w:rsidRPr="00B23DEB">
        <w:t>was closely connected to relations between family members</w:t>
      </w:r>
      <w:r w:rsidR="00065EFB" w:rsidRPr="00B23DEB">
        <w:t xml:space="preserve">. The Court notes that this right is </w:t>
      </w:r>
      <w:r w:rsidR="00B807BD" w:rsidRPr="00B23DEB">
        <w:t xml:space="preserve">recognised </w:t>
      </w:r>
      <w:r w:rsidR="00065EFB" w:rsidRPr="00B23DEB">
        <w:t xml:space="preserve">under domestic law as one of the personal rights protected by the Civil Code. It is vested in </w:t>
      </w:r>
      <w:r w:rsidR="00CF09B2" w:rsidRPr="00B23DEB">
        <w:t xml:space="preserve">the </w:t>
      </w:r>
      <w:r w:rsidR="00065EFB" w:rsidRPr="00B23DEB">
        <w:t xml:space="preserve">surviving family members of a deceased </w:t>
      </w:r>
      <w:r w:rsidR="00CF09B2" w:rsidRPr="00B23DEB">
        <w:t xml:space="preserve">person </w:t>
      </w:r>
      <w:r w:rsidR="00065EFB" w:rsidRPr="00B23DEB">
        <w:t xml:space="preserve">and extends, </w:t>
      </w:r>
      <w:r w:rsidR="00065EFB" w:rsidRPr="00B23DEB">
        <w:rPr>
          <w:i/>
        </w:rPr>
        <w:t>inter alia</w:t>
      </w:r>
      <w:r w:rsidR="00065EFB" w:rsidRPr="00B23DEB">
        <w:t xml:space="preserve">, to organising a funeral </w:t>
      </w:r>
      <w:r w:rsidR="009D3FFB" w:rsidRPr="00B23DEB">
        <w:t>an</w:t>
      </w:r>
      <w:r w:rsidR="002F58CB" w:rsidRPr="00B23DEB">
        <w:t xml:space="preserve">d paying respect to </w:t>
      </w:r>
      <w:r w:rsidR="00A1219F" w:rsidRPr="00B23DEB">
        <w:t xml:space="preserve">a deceased relative at his or her </w:t>
      </w:r>
      <w:r w:rsidR="002F58CB" w:rsidRPr="00B23DEB">
        <w:t>grave</w:t>
      </w:r>
      <w:r w:rsidR="009D3FFB" w:rsidRPr="00B23DEB">
        <w:t xml:space="preserve"> </w:t>
      </w:r>
      <w:r w:rsidR="00065EFB" w:rsidRPr="00B23DEB">
        <w:t>(see paragraph</w:t>
      </w:r>
      <w:r w:rsidR="00442A30" w:rsidRPr="00B23DEB">
        <w:t>s</w:t>
      </w:r>
      <w:r w:rsidR="009D5E37" w:rsidRPr="00B23DEB">
        <w:t> </w:t>
      </w:r>
      <w:r w:rsidR="00442A30" w:rsidRPr="00B23DEB">
        <w:t>4</w:t>
      </w:r>
      <w:r w:rsidR="00064E94" w:rsidRPr="00B23DEB">
        <w:t xml:space="preserve">9-51 </w:t>
      </w:r>
      <w:r w:rsidR="00B807BD" w:rsidRPr="00B23DEB">
        <w:t>above).</w:t>
      </w:r>
    </w:p>
    <w:p w:rsidR="00181422" w:rsidRPr="00B23DEB" w:rsidRDefault="009D3FFB" w:rsidP="00B23DEB">
      <w:pPr>
        <w:pStyle w:val="ECHRPara"/>
      </w:pPr>
      <w:r w:rsidRPr="00B23DEB">
        <w:fldChar w:fldCharType="begin"/>
      </w:r>
      <w:r w:rsidRPr="00B23DEB">
        <w:instrText xml:space="preserve"> SEQ level0 \*arabic </w:instrText>
      </w:r>
      <w:r w:rsidRPr="00B23DEB">
        <w:fldChar w:fldCharType="separate"/>
      </w:r>
      <w:r w:rsidR="006549E3">
        <w:rPr>
          <w:noProof/>
        </w:rPr>
        <w:t>108</w:t>
      </w:r>
      <w:r w:rsidRPr="00B23DEB">
        <w:fldChar w:fldCharType="end"/>
      </w:r>
      <w:r w:rsidRPr="00B23DEB">
        <w:t>.  </w:t>
      </w:r>
      <w:r w:rsidR="00B807BD" w:rsidRPr="00B23DEB">
        <w:t>R</w:t>
      </w:r>
      <w:r w:rsidR="00B52502" w:rsidRPr="00B23DEB">
        <w:t>egard being had to its case-law</w:t>
      </w:r>
      <w:r w:rsidR="00A8362C" w:rsidRPr="00B23DEB">
        <w:t xml:space="preserve"> concerning</w:t>
      </w:r>
      <w:r w:rsidR="00B52502" w:rsidRPr="00B23DEB">
        <w:t xml:space="preserve"> surviving family members </w:t>
      </w:r>
      <w:r w:rsidR="00B807BD" w:rsidRPr="00B23DEB">
        <w:t xml:space="preserve">and the </w:t>
      </w:r>
      <w:r w:rsidR="007E5FA1" w:rsidRPr="00B23DEB">
        <w:t xml:space="preserve">above-mentioned circumstances, the Court finds that the facts of the present case </w:t>
      </w:r>
      <w:r w:rsidR="00B807BD" w:rsidRPr="00B23DEB">
        <w:t xml:space="preserve">fall within the </w:t>
      </w:r>
      <w:r w:rsidR="00B52502" w:rsidRPr="00B23DEB">
        <w:t>scope o</w:t>
      </w:r>
      <w:r w:rsidR="006F4A18" w:rsidRPr="00B23DEB">
        <w:t xml:space="preserve">f the right to respect for </w:t>
      </w:r>
      <w:r w:rsidR="009F5D9E" w:rsidRPr="00B23DEB">
        <w:t xml:space="preserve">private and </w:t>
      </w:r>
      <w:r w:rsidR="00B807BD" w:rsidRPr="00B23DEB">
        <w:t>family life.</w:t>
      </w:r>
    </w:p>
    <w:p w:rsidR="00181422" w:rsidRPr="00B23DEB" w:rsidRDefault="00C7382B" w:rsidP="00B23DEB">
      <w:pPr>
        <w:pStyle w:val="ECHRHeading4"/>
      </w:pPr>
      <w:r w:rsidRPr="00B23DEB">
        <w:t>(b)  </w:t>
      </w:r>
      <w:r w:rsidR="00744F85" w:rsidRPr="00B23DEB">
        <w:t>Whether there was an i</w:t>
      </w:r>
      <w:r w:rsidR="00AB3AFE" w:rsidRPr="00B23DEB">
        <w:t>nterference</w:t>
      </w:r>
    </w:p>
    <w:p w:rsidR="00181422" w:rsidRPr="00B23DEB" w:rsidRDefault="002F10F8" w:rsidP="00B23DEB">
      <w:pPr>
        <w:pStyle w:val="ECHRPara"/>
      </w:pPr>
      <w:r w:rsidRPr="00B23DEB">
        <w:fldChar w:fldCharType="begin"/>
      </w:r>
      <w:r w:rsidRPr="00B23DEB">
        <w:instrText xml:space="preserve"> SEQ level0 \*arabic </w:instrText>
      </w:r>
      <w:r w:rsidRPr="00B23DEB">
        <w:fldChar w:fldCharType="separate"/>
      </w:r>
      <w:r w:rsidR="006549E3">
        <w:rPr>
          <w:noProof/>
        </w:rPr>
        <w:t>109</w:t>
      </w:r>
      <w:r w:rsidRPr="00B23DEB">
        <w:fldChar w:fldCharType="end"/>
      </w:r>
      <w:r w:rsidRPr="00B23DEB">
        <w:t>.  </w:t>
      </w:r>
      <w:r w:rsidR="001F11B3" w:rsidRPr="00B23DEB">
        <w:t>The applicant</w:t>
      </w:r>
      <w:r w:rsidR="0000078C" w:rsidRPr="00B23DEB">
        <w:t>s</w:t>
      </w:r>
      <w:r w:rsidR="001F11B3" w:rsidRPr="00B23DEB">
        <w:t xml:space="preserve"> maintained that the exhumation carried out on the basis of the prosecutor</w:t>
      </w:r>
      <w:r w:rsidR="00B23DEB" w:rsidRPr="00B23DEB">
        <w:t>’</w:t>
      </w:r>
      <w:r w:rsidR="001F11B3" w:rsidRPr="00B23DEB">
        <w:t xml:space="preserve">s decision of 7 October 2016 constituted interference with </w:t>
      </w:r>
      <w:r w:rsidR="0000078C" w:rsidRPr="00B23DEB">
        <w:t xml:space="preserve">their </w:t>
      </w:r>
      <w:r w:rsidR="001F11B3" w:rsidRPr="00B23DEB">
        <w:t xml:space="preserve">Article 8 rights. </w:t>
      </w:r>
      <w:r w:rsidR="0000078C" w:rsidRPr="00B23DEB">
        <w:t xml:space="preserve">The Government expressed some doubt </w:t>
      </w:r>
      <w:r w:rsidR="00A8362C" w:rsidRPr="00B23DEB">
        <w:t xml:space="preserve">as to </w:t>
      </w:r>
      <w:r w:rsidR="0000078C" w:rsidRPr="00B23DEB">
        <w:t xml:space="preserve">whether that decision in itself amounted to interference. However, they agreed that the decision of 7 October 2016 </w:t>
      </w:r>
      <w:r w:rsidR="00A8362C" w:rsidRPr="00B23DEB">
        <w:t xml:space="preserve">had </w:t>
      </w:r>
      <w:r w:rsidR="0000078C" w:rsidRPr="00B23DEB">
        <w:t>predetermined the issue of exhumation.</w:t>
      </w:r>
      <w:r w:rsidR="00A0760D" w:rsidRPr="00B23DEB">
        <w:t xml:space="preserve"> The </w:t>
      </w:r>
      <w:r w:rsidR="004C161E" w:rsidRPr="00B23DEB">
        <w:t xml:space="preserve">remains of </w:t>
      </w:r>
      <w:r w:rsidR="00A8362C" w:rsidRPr="00B23DEB">
        <w:t xml:space="preserve">the </w:t>
      </w:r>
      <w:r w:rsidR="001B2A4D" w:rsidRPr="00B23DEB">
        <w:t>applicants</w:t>
      </w:r>
      <w:r w:rsidR="00B23DEB" w:rsidRPr="00B23DEB">
        <w:t>’</w:t>
      </w:r>
      <w:r w:rsidR="001B2A4D" w:rsidRPr="00B23DEB">
        <w:t xml:space="preserve"> </w:t>
      </w:r>
      <w:r w:rsidR="005516A3" w:rsidRPr="00B23DEB">
        <w:t>husbands</w:t>
      </w:r>
      <w:r w:rsidR="001B2A4D" w:rsidRPr="00B23DEB">
        <w:t xml:space="preserve"> </w:t>
      </w:r>
      <w:r w:rsidR="002F58CB" w:rsidRPr="00B23DEB">
        <w:t xml:space="preserve">were </w:t>
      </w:r>
      <w:r w:rsidR="00BF07AC" w:rsidRPr="00B23DEB">
        <w:t xml:space="preserve">exhumed </w:t>
      </w:r>
      <w:r w:rsidR="009E7B7C" w:rsidRPr="00B23DEB">
        <w:t>on 14 </w:t>
      </w:r>
      <w:r w:rsidR="000F72F1" w:rsidRPr="00B23DEB">
        <w:t xml:space="preserve">and 16 </w:t>
      </w:r>
      <w:r w:rsidR="001B2A4D" w:rsidRPr="00B23DEB">
        <w:t>May 2018 respectively</w:t>
      </w:r>
      <w:r w:rsidR="00A0760D" w:rsidRPr="00B23DEB">
        <w:t>.</w:t>
      </w:r>
    </w:p>
    <w:p w:rsidR="00C66241" w:rsidRPr="00B23DEB" w:rsidRDefault="003C676A" w:rsidP="00B23DEB">
      <w:pPr>
        <w:pStyle w:val="ECHRPara"/>
      </w:pPr>
      <w:r w:rsidRPr="00B23DEB">
        <w:fldChar w:fldCharType="begin"/>
      </w:r>
      <w:r w:rsidRPr="00B23DEB">
        <w:instrText xml:space="preserve"> SEQ level0 \*arabic </w:instrText>
      </w:r>
      <w:r w:rsidRPr="00B23DEB">
        <w:fldChar w:fldCharType="separate"/>
      </w:r>
      <w:r w:rsidR="006549E3">
        <w:rPr>
          <w:noProof/>
        </w:rPr>
        <w:t>110</w:t>
      </w:r>
      <w:r w:rsidRPr="00B23DEB">
        <w:fldChar w:fldCharType="end"/>
      </w:r>
      <w:r w:rsidRPr="00B23DEB">
        <w:t>.  </w:t>
      </w:r>
      <w:r w:rsidR="00C66241" w:rsidRPr="00B23DEB">
        <w:t>The Court considers that the exhumation of the remains of the</w:t>
      </w:r>
      <w:r w:rsidR="009C6A17" w:rsidRPr="00B23DEB">
        <w:t xml:space="preserve"> applicants</w:t>
      </w:r>
      <w:r w:rsidR="00B23DEB" w:rsidRPr="00B23DEB">
        <w:t>’</w:t>
      </w:r>
      <w:r w:rsidR="009C6A17" w:rsidRPr="00B23DEB">
        <w:t xml:space="preserve"> deceased husbands, </w:t>
      </w:r>
      <w:r w:rsidR="00C66241" w:rsidRPr="00B23DEB">
        <w:t>c</w:t>
      </w:r>
      <w:r w:rsidR="009C6A17" w:rsidRPr="00B23DEB">
        <w:t xml:space="preserve">arried out </w:t>
      </w:r>
      <w:r w:rsidR="00C66241" w:rsidRPr="00B23DEB">
        <w:t>despite the applicants</w:t>
      </w:r>
      <w:r w:rsidR="00B23DEB" w:rsidRPr="00B23DEB">
        <w:t>’</w:t>
      </w:r>
      <w:r w:rsidR="00C66241" w:rsidRPr="00B23DEB">
        <w:t xml:space="preserve"> objections, could be regarded as impinging on their relational sphere in such a manner and to such a degree as to disclose an interference with their right to respect for their </w:t>
      </w:r>
      <w:r w:rsidR="009F5D9E" w:rsidRPr="00B23DEB">
        <w:t xml:space="preserve">private and </w:t>
      </w:r>
      <w:r w:rsidR="00C66241" w:rsidRPr="00B23DEB">
        <w:t>family life.</w:t>
      </w:r>
    </w:p>
    <w:p w:rsidR="00181422" w:rsidRPr="00B23DEB" w:rsidRDefault="00C7382B" w:rsidP="00B23DEB">
      <w:pPr>
        <w:pStyle w:val="ECHRHeading4"/>
      </w:pPr>
      <w:r w:rsidRPr="00B23DEB">
        <w:t>(c)  </w:t>
      </w:r>
      <w:r w:rsidR="00744F85" w:rsidRPr="00B23DEB">
        <w:t xml:space="preserve">Was </w:t>
      </w:r>
      <w:r w:rsidR="00AB3AFE" w:rsidRPr="00B23DEB">
        <w:t xml:space="preserve">the interference </w:t>
      </w:r>
      <w:r w:rsidR="00744F85" w:rsidRPr="00B23DEB">
        <w:t>justified?</w:t>
      </w:r>
    </w:p>
    <w:p w:rsidR="00D13864" w:rsidRPr="00B23DEB" w:rsidRDefault="00E55822" w:rsidP="00B23DEB">
      <w:pPr>
        <w:pStyle w:val="ECHRPara"/>
      </w:pPr>
      <w:r w:rsidRPr="00B23DEB">
        <w:fldChar w:fldCharType="begin"/>
      </w:r>
      <w:r w:rsidRPr="00B23DEB">
        <w:instrText xml:space="preserve"> SEQ level0 \*arabic </w:instrText>
      </w:r>
      <w:r w:rsidRPr="00B23DEB">
        <w:fldChar w:fldCharType="separate"/>
      </w:r>
      <w:r w:rsidR="006549E3">
        <w:rPr>
          <w:noProof/>
        </w:rPr>
        <w:t>111</w:t>
      </w:r>
      <w:r w:rsidRPr="00B23DEB">
        <w:rPr>
          <w:noProof/>
        </w:rPr>
        <w:fldChar w:fldCharType="end"/>
      </w:r>
      <w:r w:rsidR="00744F85" w:rsidRPr="00B23DEB">
        <w:t>.  </w:t>
      </w:r>
      <w:r w:rsidR="00F15EE0" w:rsidRPr="00B23DEB">
        <w:t>In order to be justified under Article 8 § 2 of the Convention, any interference must be in accordance with the law, pursue one of the listed legitimate aims and be necess</w:t>
      </w:r>
      <w:r w:rsidR="00003D8C" w:rsidRPr="00B23DEB">
        <w:t xml:space="preserve">ary in a democratic society </w:t>
      </w:r>
      <w:r w:rsidR="00547830" w:rsidRPr="00B23DEB">
        <w:t>(see </w:t>
      </w:r>
      <w:r w:rsidR="00547830" w:rsidRPr="00B23DEB">
        <w:rPr>
          <w:i/>
        </w:rPr>
        <w:t>Pretty v. the </w:t>
      </w:r>
      <w:r w:rsidR="00CC6492" w:rsidRPr="00B23DEB">
        <w:rPr>
          <w:i/>
        </w:rPr>
        <w:t>United Kingdom</w:t>
      </w:r>
      <w:r w:rsidR="00CC6492" w:rsidRPr="00B23DEB">
        <w:t>, no. 2346/02, § 68, ECHR 2002</w:t>
      </w:r>
      <w:r w:rsidR="00CC6492" w:rsidRPr="00B23DEB">
        <w:noBreakHyphen/>
        <w:t xml:space="preserve">III, </w:t>
      </w:r>
      <w:r w:rsidR="00A8362C" w:rsidRPr="00B23DEB">
        <w:t>and</w:t>
      </w:r>
      <w:r w:rsidR="00D13864" w:rsidRPr="00B23DEB">
        <w:t xml:space="preserve"> </w:t>
      </w:r>
      <w:r w:rsidR="00D13864" w:rsidRPr="00B23DEB">
        <w:rPr>
          <w:i/>
        </w:rPr>
        <w:t>Glass v. the United Kingdom</w:t>
      </w:r>
      <w:r w:rsidR="00D13864" w:rsidRPr="00B23DEB">
        <w:t>, no. 61827/00, § 73, ECHR 2004</w:t>
      </w:r>
      <w:r w:rsidR="00D13864" w:rsidRPr="00B23DEB">
        <w:noBreakHyphen/>
        <w:t>II).</w:t>
      </w:r>
    </w:p>
    <w:p w:rsidR="008A6BBD" w:rsidRPr="00B23DEB" w:rsidRDefault="008A6BBD" w:rsidP="00B23DEB">
      <w:pPr>
        <w:pStyle w:val="ECHRHeading5"/>
      </w:pPr>
      <w:r w:rsidRPr="00B23DEB">
        <w:t>(</w:t>
      </w:r>
      <w:r w:rsidR="00B61A15" w:rsidRPr="00B23DEB">
        <w:t>i</w:t>
      </w:r>
      <w:r w:rsidRPr="00B23DEB">
        <w:t>)  In accordance with the law</w:t>
      </w:r>
    </w:p>
    <w:p w:rsidR="00181422" w:rsidRPr="00B23DEB" w:rsidRDefault="00F65D90" w:rsidP="00B23DEB">
      <w:pPr>
        <w:pStyle w:val="ECHRPara"/>
      </w:pPr>
      <w:r w:rsidRPr="00B23DEB">
        <w:fldChar w:fldCharType="begin"/>
      </w:r>
      <w:r w:rsidRPr="00B23DEB">
        <w:instrText xml:space="preserve"> SEQ level0 \*arabic </w:instrText>
      </w:r>
      <w:r w:rsidRPr="00B23DEB">
        <w:fldChar w:fldCharType="separate"/>
      </w:r>
      <w:r w:rsidR="006549E3">
        <w:rPr>
          <w:noProof/>
        </w:rPr>
        <w:t>112</w:t>
      </w:r>
      <w:r w:rsidRPr="00B23DEB">
        <w:fldChar w:fldCharType="end"/>
      </w:r>
      <w:r w:rsidRPr="00B23DEB">
        <w:t>.  </w:t>
      </w:r>
      <w:r w:rsidR="008A6BBD" w:rsidRPr="00B23DEB">
        <w:t>The Court notes from its well</w:t>
      </w:r>
      <w:r w:rsidR="00636872" w:rsidRPr="00B23DEB">
        <w:t>-</w:t>
      </w:r>
      <w:r w:rsidR="008A6BBD" w:rsidRPr="00B23DEB">
        <w:t>established case-law that the wording “in accordance with the law” requires the impugned measure both to have some basis in domestic law and to be compatible with the rule of law</w:t>
      </w:r>
      <w:r w:rsidR="00D92384" w:rsidRPr="00B23DEB">
        <w:t xml:space="preserve"> </w:t>
      </w:r>
      <w:r w:rsidR="009E7B7C" w:rsidRPr="00B23DEB">
        <w:t>(see </w:t>
      </w:r>
      <w:r w:rsidR="00D92384" w:rsidRPr="00B23DEB">
        <w:rPr>
          <w:i/>
        </w:rPr>
        <w:t>Halford v. the United Kingdom</w:t>
      </w:r>
      <w:r w:rsidR="00D92384" w:rsidRPr="00B23DEB">
        <w:t xml:space="preserve">, 25 June 1997, § 49, </w:t>
      </w:r>
      <w:r w:rsidR="00D92384" w:rsidRPr="00B23DEB">
        <w:rPr>
          <w:i/>
        </w:rPr>
        <w:t>Reports of Judgments and Decisions</w:t>
      </w:r>
      <w:r w:rsidR="00D92384" w:rsidRPr="00B23DEB">
        <w:t xml:space="preserve"> 1997</w:t>
      </w:r>
      <w:r w:rsidR="00D92384" w:rsidRPr="00B23DEB">
        <w:noBreakHyphen/>
        <w:t>III)</w:t>
      </w:r>
      <w:r w:rsidR="008A6BBD" w:rsidRPr="00B23DEB">
        <w:t xml:space="preserve">, which is expressly mentioned in the Preamble to the Convention and inherent in the object and purpose of Article 8. The law must thus be adequately accessible and foreseeable, that is, formulated with sufficient precision to enable the individual – if need be with appropriate advice – to regulate his conduct. For domestic law to meet these requirements, it must afford adequate legal protection against arbitrariness and accordingly indicate with sufficient clarity the scope of discretion conferred on the competent authorities and the manner </w:t>
      </w:r>
      <w:r w:rsidR="00A8362C" w:rsidRPr="00B23DEB">
        <w:t xml:space="preserve">in which it is </w:t>
      </w:r>
      <w:r w:rsidR="008A6BBD" w:rsidRPr="00B23DEB">
        <w:t>exercise</w:t>
      </w:r>
      <w:r w:rsidR="00A8362C" w:rsidRPr="00B23DEB">
        <w:t>d</w:t>
      </w:r>
      <w:r w:rsidR="008A6BBD" w:rsidRPr="00B23DEB">
        <w:t xml:space="preserve"> (see </w:t>
      </w:r>
      <w:r w:rsidR="008A6BBD" w:rsidRPr="00B23DEB">
        <w:rPr>
          <w:i/>
        </w:rPr>
        <w:t>Malone v. the United Kingdom</w:t>
      </w:r>
      <w:r w:rsidR="008A6BBD" w:rsidRPr="00B23DEB">
        <w:t xml:space="preserve">, 2 August 1984, §§ 66-68, Series A no. 82; </w:t>
      </w:r>
      <w:r w:rsidR="00513B76" w:rsidRPr="00B23DEB">
        <w:rPr>
          <w:i/>
          <w:lang w:val="en-US"/>
        </w:rPr>
        <w:t>Amann v. Switzerland</w:t>
      </w:r>
      <w:r w:rsidR="00513B76" w:rsidRPr="00B23DEB">
        <w:rPr>
          <w:lang w:val="en-US"/>
        </w:rPr>
        <w:t xml:space="preserve"> [GC], no. 27798/95, § 56, ECHR 2000</w:t>
      </w:r>
      <w:r w:rsidR="00513B76" w:rsidRPr="00B23DEB">
        <w:rPr>
          <w:lang w:val="en-US"/>
        </w:rPr>
        <w:noBreakHyphen/>
        <w:t xml:space="preserve">II; </w:t>
      </w:r>
      <w:r w:rsidR="008A6BBD" w:rsidRPr="00B23DEB">
        <w:rPr>
          <w:i/>
        </w:rPr>
        <w:t xml:space="preserve">Rotaru v. Romania </w:t>
      </w:r>
      <w:r w:rsidR="00C7382B" w:rsidRPr="00B23DEB">
        <w:t>[GC], no. </w:t>
      </w:r>
      <w:r w:rsidR="00513B76" w:rsidRPr="00B23DEB">
        <w:t xml:space="preserve">28341/95, § 55, ECHR 2000-V; </w:t>
      </w:r>
      <w:r w:rsidR="00003D8C" w:rsidRPr="00B23DEB">
        <w:t xml:space="preserve">and </w:t>
      </w:r>
      <w:r w:rsidR="000B0921" w:rsidRPr="00B23DEB">
        <w:rPr>
          <w:i/>
        </w:rPr>
        <w:t>S. and Marper v. the United Kingdom</w:t>
      </w:r>
      <w:r w:rsidR="000B0921" w:rsidRPr="00B23DEB">
        <w:t xml:space="preserve"> [GC]</w:t>
      </w:r>
      <w:r w:rsidR="009E7B7C" w:rsidRPr="00B23DEB">
        <w:t>, nos. 30562/04 and 30566/04, § </w:t>
      </w:r>
      <w:r w:rsidR="000B0921" w:rsidRPr="00B23DEB">
        <w:t>95, ECHR 2008).</w:t>
      </w:r>
    </w:p>
    <w:p w:rsidR="00181422" w:rsidRPr="00B23DEB" w:rsidRDefault="009121C1" w:rsidP="00B23DEB">
      <w:pPr>
        <w:pStyle w:val="ECHRPara"/>
      </w:pPr>
      <w:r w:rsidRPr="00B23DEB">
        <w:fldChar w:fldCharType="begin"/>
      </w:r>
      <w:r w:rsidRPr="00B23DEB">
        <w:instrText xml:space="preserve"> SEQ level0 \*arabic </w:instrText>
      </w:r>
      <w:r w:rsidRPr="00B23DEB">
        <w:fldChar w:fldCharType="separate"/>
      </w:r>
      <w:r w:rsidR="006549E3">
        <w:rPr>
          <w:noProof/>
        </w:rPr>
        <w:t>113</w:t>
      </w:r>
      <w:r w:rsidRPr="00B23DEB">
        <w:fldChar w:fldCharType="end"/>
      </w:r>
      <w:r w:rsidRPr="00B23DEB">
        <w:t xml:space="preserve">. The interference with the right to respect for the </w:t>
      </w:r>
      <w:r w:rsidR="009F5D9E" w:rsidRPr="00B23DEB">
        <w:t xml:space="preserve">private and </w:t>
      </w:r>
      <w:r w:rsidRPr="00B23DEB">
        <w:t xml:space="preserve">family life must therefore be based on a “law” that guarantees proper safeguards against arbitrariness. There must be safeguards to ensure that the discretion left to the executive is exercised in accordance with the law and without abuse of powers (see, </w:t>
      </w:r>
      <w:r w:rsidRPr="00B23DEB">
        <w:rPr>
          <w:i/>
        </w:rPr>
        <w:t>mutatis mutandis</w:t>
      </w:r>
      <w:r w:rsidRPr="00B23DEB">
        <w:t xml:space="preserve">, </w:t>
      </w:r>
      <w:r w:rsidRPr="00B23DEB">
        <w:rPr>
          <w:i/>
        </w:rPr>
        <w:t>Polyakova and Others v. Russia</w:t>
      </w:r>
      <w:r w:rsidRPr="00B23DEB">
        <w:t>, nos. 35090/09 and 3 others, § 91, 7 March 2017). The requirements of Article 8 with regard to safeguards will depend, to some degree at least, on the nature and extent of th</w:t>
      </w:r>
      <w:r w:rsidR="009E7B7C" w:rsidRPr="00B23DEB">
        <w:t>e interference in question (see </w:t>
      </w:r>
      <w:r w:rsidR="009E7B7C" w:rsidRPr="00B23DEB">
        <w:rPr>
          <w:i/>
        </w:rPr>
        <w:t>Al</w:t>
      </w:r>
      <w:r w:rsidR="009E7B7C" w:rsidRPr="00B23DEB">
        <w:rPr>
          <w:i/>
        </w:rPr>
        <w:noBreakHyphen/>
        <w:t>Nashif v. </w:t>
      </w:r>
      <w:r w:rsidRPr="00B23DEB">
        <w:rPr>
          <w:i/>
        </w:rPr>
        <w:t>Bulgaria</w:t>
      </w:r>
      <w:r w:rsidRPr="00B23DEB">
        <w:t xml:space="preserve">, no. 50963/99, § 121, 20 June 2002; </w:t>
      </w:r>
      <w:r w:rsidR="009E7B7C" w:rsidRPr="00B23DEB">
        <w:rPr>
          <w:i/>
        </w:rPr>
        <w:t>P.G. and </w:t>
      </w:r>
      <w:r w:rsidRPr="00B23DEB">
        <w:rPr>
          <w:i/>
        </w:rPr>
        <w:t>J.H. v. the United Kingdom</w:t>
      </w:r>
      <w:r w:rsidRPr="00B23DEB">
        <w:t xml:space="preserve">, no. 44787/98, § 46, ECHR 2001 IX; and </w:t>
      </w:r>
      <w:r w:rsidRPr="00B23DEB">
        <w:rPr>
          <w:i/>
        </w:rPr>
        <w:t>C.G. and Others v. Bulgaria</w:t>
      </w:r>
      <w:r w:rsidRPr="00B23DEB">
        <w:t>, no. 1365</w:t>
      </w:r>
      <w:r w:rsidR="009E7B7C" w:rsidRPr="00B23DEB">
        <w:t>/07, § 45, 24 April 2008). In a </w:t>
      </w:r>
      <w:r w:rsidRPr="00B23DEB">
        <w:t xml:space="preserve">number of cases involving complaints under Article 8, the Court has found that proper legal safeguards against arbitrariness would necessitate the provision of judicial or other independent scrutiny of relevant measures affecting individuals (see </w:t>
      </w:r>
      <w:r w:rsidRPr="00B23DEB">
        <w:rPr>
          <w:i/>
        </w:rPr>
        <w:t>Rotaru v. Romania</w:t>
      </w:r>
      <w:r w:rsidRPr="00B23DEB">
        <w:t xml:space="preserve">, § 59; </w:t>
      </w:r>
      <w:r w:rsidR="009E7B7C" w:rsidRPr="00B23DEB">
        <w:rPr>
          <w:i/>
        </w:rPr>
        <w:t>C.G. and Others v. </w:t>
      </w:r>
      <w:r w:rsidRPr="00B23DEB">
        <w:rPr>
          <w:i/>
        </w:rPr>
        <w:t>Bulgaria</w:t>
      </w:r>
      <w:r w:rsidRPr="00B23DEB">
        <w:t xml:space="preserve">, § 40, both cited above; </w:t>
      </w:r>
      <w:r w:rsidRPr="00B23DEB">
        <w:rPr>
          <w:i/>
        </w:rPr>
        <w:t>Varga v. Romania</w:t>
      </w:r>
      <w:r w:rsidR="008B51D5" w:rsidRPr="00B23DEB">
        <w:t>, no. 73957/01, § 73, 1 </w:t>
      </w:r>
      <w:r w:rsidRPr="00B23DEB">
        <w:t xml:space="preserve">April 2008; </w:t>
      </w:r>
      <w:r w:rsidRPr="00B23DEB">
        <w:rPr>
          <w:i/>
        </w:rPr>
        <w:t>Heino v. Finland</w:t>
      </w:r>
      <w:r w:rsidRPr="00B23DEB">
        <w:t xml:space="preserve">, no. 56720/09, § 45, 15 February 2011; </w:t>
      </w:r>
      <w:r w:rsidR="009E7B7C" w:rsidRPr="00B23DEB">
        <w:rPr>
          <w:i/>
        </w:rPr>
        <w:t>X v. </w:t>
      </w:r>
      <w:r w:rsidRPr="00B23DEB">
        <w:rPr>
          <w:i/>
        </w:rPr>
        <w:t>Finland</w:t>
      </w:r>
      <w:r w:rsidRPr="00B23DEB">
        <w:t xml:space="preserve">, cited above, §§ 220-21; </w:t>
      </w:r>
      <w:r w:rsidR="00984A38" w:rsidRPr="00B23DEB">
        <w:t xml:space="preserve">and </w:t>
      </w:r>
      <w:r w:rsidR="00984A38" w:rsidRPr="00B23DEB">
        <w:rPr>
          <w:i/>
        </w:rPr>
        <w:t>Polyakova and Others v. Russia</w:t>
      </w:r>
      <w:r w:rsidR="00984A38" w:rsidRPr="00B23DEB">
        <w:t>, cited above, §§ 116</w:t>
      </w:r>
      <w:r w:rsidR="00984A38" w:rsidRPr="00B23DEB">
        <w:noBreakHyphen/>
        <w:t>17).</w:t>
      </w:r>
    </w:p>
    <w:p w:rsidR="00984A38" w:rsidRPr="00B23DEB" w:rsidRDefault="00984A38" w:rsidP="00B23DEB">
      <w:pPr>
        <w:pStyle w:val="ECHRPara"/>
      </w:pPr>
      <w:r w:rsidRPr="00B23DEB">
        <w:fldChar w:fldCharType="begin"/>
      </w:r>
      <w:r w:rsidRPr="00B23DEB">
        <w:instrText xml:space="preserve"> SEQ level0 \*arabic </w:instrText>
      </w:r>
      <w:r w:rsidRPr="00B23DEB">
        <w:fldChar w:fldCharType="separate"/>
      </w:r>
      <w:r w:rsidR="006549E3">
        <w:rPr>
          <w:noProof/>
        </w:rPr>
        <w:t>114</w:t>
      </w:r>
      <w:r w:rsidRPr="00B23DEB">
        <w:fldChar w:fldCharType="end"/>
      </w:r>
      <w:r w:rsidRPr="00B23DEB">
        <w:t>.  The Court must thus examine the “quality” of the legal rules applicable to the applicants in the instant case.</w:t>
      </w:r>
    </w:p>
    <w:p w:rsidR="00181422" w:rsidRPr="00B23DEB" w:rsidRDefault="00C27575" w:rsidP="00B23DEB">
      <w:pPr>
        <w:pStyle w:val="ECHRPara"/>
      </w:pPr>
      <w:r w:rsidRPr="00B23DEB">
        <w:fldChar w:fldCharType="begin"/>
      </w:r>
      <w:r w:rsidRPr="00B23DEB">
        <w:instrText xml:space="preserve"> SEQ level0 \*arabic </w:instrText>
      </w:r>
      <w:r w:rsidRPr="00B23DEB">
        <w:fldChar w:fldCharType="separate"/>
      </w:r>
      <w:r w:rsidR="006549E3">
        <w:rPr>
          <w:noProof/>
        </w:rPr>
        <w:t>115</w:t>
      </w:r>
      <w:r w:rsidRPr="00B23DEB">
        <w:fldChar w:fldCharType="end"/>
      </w:r>
      <w:r w:rsidRPr="00B23DEB">
        <w:t>.  </w:t>
      </w:r>
      <w:r w:rsidR="003C7F23" w:rsidRPr="00B23DEB">
        <w:t xml:space="preserve">The Court </w:t>
      </w:r>
      <w:r w:rsidR="005D694D" w:rsidRPr="00B23DEB">
        <w:t xml:space="preserve">notes that </w:t>
      </w:r>
      <w:r w:rsidR="00D83E07" w:rsidRPr="00B23DEB">
        <w:t xml:space="preserve">in his decision of 7 October 2016 the prosecutor </w:t>
      </w:r>
      <w:r w:rsidR="00F91723" w:rsidRPr="00B23DEB">
        <w:t xml:space="preserve">ordered </w:t>
      </w:r>
      <w:r w:rsidR="002E6FB3" w:rsidRPr="00B23DEB">
        <w:t xml:space="preserve">autopsies </w:t>
      </w:r>
      <w:r w:rsidR="00A8362C" w:rsidRPr="00B23DEB">
        <w:t xml:space="preserve">to be carried out </w:t>
      </w:r>
      <w:r w:rsidR="002E6FB3" w:rsidRPr="00B23DEB">
        <w:t>on the bodies of eighty-three victims of the crash (including the applicants</w:t>
      </w:r>
      <w:r w:rsidR="00B23DEB" w:rsidRPr="00B23DEB">
        <w:t>’</w:t>
      </w:r>
      <w:r w:rsidR="002E6FB3" w:rsidRPr="00B23DEB">
        <w:t xml:space="preserve"> husbands)</w:t>
      </w:r>
      <w:r w:rsidR="00A8362C" w:rsidRPr="00B23DEB">
        <w:t>,</w:t>
      </w:r>
      <w:r w:rsidR="00C7382B" w:rsidRPr="00B23DEB">
        <w:t xml:space="preserve"> pursuant to Article </w:t>
      </w:r>
      <w:r w:rsidR="002E6FB3" w:rsidRPr="00B23DEB">
        <w:t xml:space="preserve">209 § 1 of the CCP. He further ordered that for the purpose of </w:t>
      </w:r>
      <w:r w:rsidR="00A8362C" w:rsidRPr="00B23DEB">
        <w:t xml:space="preserve">carrying out the </w:t>
      </w:r>
      <w:r w:rsidR="002E6FB3" w:rsidRPr="00B23DEB">
        <w:t>autops</w:t>
      </w:r>
      <w:r w:rsidR="00A8362C" w:rsidRPr="00B23DEB">
        <w:t>ies,</w:t>
      </w:r>
      <w:r w:rsidR="002E6FB3" w:rsidRPr="00B23DEB">
        <w:t xml:space="preserve"> the bodies of the victims be exhumed in accordance with Article 210 of the CCP</w:t>
      </w:r>
      <w:r w:rsidR="00E54641" w:rsidRPr="00B23DEB">
        <w:t>.</w:t>
      </w:r>
    </w:p>
    <w:p w:rsidR="00181422" w:rsidRPr="00B23DEB" w:rsidRDefault="00F91723" w:rsidP="00B23DEB">
      <w:pPr>
        <w:pStyle w:val="ECHRPara"/>
      </w:pPr>
      <w:r w:rsidRPr="00B23DEB">
        <w:fldChar w:fldCharType="begin"/>
      </w:r>
      <w:r w:rsidRPr="00B23DEB">
        <w:instrText xml:space="preserve"> SEQ level0 \*arabic </w:instrText>
      </w:r>
      <w:r w:rsidRPr="00B23DEB">
        <w:fldChar w:fldCharType="separate"/>
      </w:r>
      <w:r w:rsidR="006549E3">
        <w:rPr>
          <w:noProof/>
        </w:rPr>
        <w:t>116</w:t>
      </w:r>
      <w:r w:rsidRPr="00B23DEB">
        <w:fldChar w:fldCharType="end"/>
      </w:r>
      <w:r w:rsidRPr="00B23DEB">
        <w:t>.  </w:t>
      </w:r>
      <w:r w:rsidR="006A0FE8" w:rsidRPr="00B23DEB">
        <w:t xml:space="preserve">The Court </w:t>
      </w:r>
      <w:r w:rsidR="00B47E2C" w:rsidRPr="00B23DEB">
        <w:t>observes tha</w:t>
      </w:r>
      <w:r w:rsidR="00785A5A" w:rsidRPr="00B23DEB">
        <w:t xml:space="preserve">t the applicants </w:t>
      </w:r>
      <w:r w:rsidR="00F61A3E" w:rsidRPr="00B23DEB">
        <w:t>questioned the quality</w:t>
      </w:r>
      <w:r w:rsidR="001334D2" w:rsidRPr="00B23DEB">
        <w:t xml:space="preserve"> </w:t>
      </w:r>
      <w:r w:rsidR="00F61A3E" w:rsidRPr="00B23DEB">
        <w:t xml:space="preserve">of </w:t>
      </w:r>
      <w:r w:rsidR="008D62F3" w:rsidRPr="00B23DEB">
        <w:t xml:space="preserve">Article 210 </w:t>
      </w:r>
      <w:r w:rsidR="003275F3" w:rsidRPr="00B23DEB">
        <w:t>of the CCP</w:t>
      </w:r>
      <w:r w:rsidR="00A8362C" w:rsidRPr="00B23DEB">
        <w:t>,</w:t>
      </w:r>
      <w:r w:rsidR="003275F3" w:rsidRPr="00B23DEB">
        <w:t xml:space="preserve"> </w:t>
      </w:r>
      <w:r w:rsidR="008D62F3" w:rsidRPr="00B23DEB">
        <w:t xml:space="preserve">which constituted the </w:t>
      </w:r>
      <w:r w:rsidR="00F61A3E" w:rsidRPr="00B23DEB">
        <w:t>legal basis for the prosecutor</w:t>
      </w:r>
      <w:r w:rsidR="00B23DEB" w:rsidRPr="00B23DEB">
        <w:t>’</w:t>
      </w:r>
      <w:r w:rsidR="00F61A3E" w:rsidRPr="00B23DEB">
        <w:t>s decision</w:t>
      </w:r>
      <w:r w:rsidR="008D62F3" w:rsidRPr="00B23DEB">
        <w:t xml:space="preserve"> ordering exhumation. In particular, they </w:t>
      </w:r>
      <w:r w:rsidR="009F73F7" w:rsidRPr="00B23DEB">
        <w:t xml:space="preserve">contested </w:t>
      </w:r>
      <w:r w:rsidR="00726BE4" w:rsidRPr="00B23DEB">
        <w:t xml:space="preserve">the </w:t>
      </w:r>
      <w:r w:rsidR="00636872" w:rsidRPr="00B23DEB">
        <w:t xml:space="preserve">fact that they had been unable </w:t>
      </w:r>
      <w:r w:rsidR="00F61A3E" w:rsidRPr="00B23DEB">
        <w:t xml:space="preserve">to </w:t>
      </w:r>
      <w:r w:rsidR="009F73F7" w:rsidRPr="00B23DEB">
        <w:t xml:space="preserve">challenge </w:t>
      </w:r>
      <w:r w:rsidR="00F70AA6" w:rsidRPr="00B23DEB">
        <w:t xml:space="preserve">the </w:t>
      </w:r>
      <w:r w:rsidR="009F73F7" w:rsidRPr="00B23DEB">
        <w:t>prosecutor</w:t>
      </w:r>
      <w:r w:rsidR="00B23DEB" w:rsidRPr="00B23DEB">
        <w:t>’</w:t>
      </w:r>
      <w:r w:rsidR="009F73F7" w:rsidRPr="00B23DEB">
        <w:t>s decision on such a sensitive issue</w:t>
      </w:r>
      <w:r w:rsidR="00A8362C" w:rsidRPr="00B23DEB">
        <w:t xml:space="preserve"> before a court</w:t>
      </w:r>
      <w:r w:rsidR="009F73F7" w:rsidRPr="00B23DEB">
        <w:t xml:space="preserve">. In their view, only </w:t>
      </w:r>
      <w:r w:rsidR="00A8362C" w:rsidRPr="00B23DEB">
        <w:t xml:space="preserve">a </w:t>
      </w:r>
      <w:r w:rsidR="009F73F7" w:rsidRPr="00B23DEB">
        <w:t xml:space="preserve">judicial review could have ensured </w:t>
      </w:r>
      <w:r w:rsidR="00A8362C" w:rsidRPr="00B23DEB">
        <w:t xml:space="preserve">that </w:t>
      </w:r>
      <w:r w:rsidR="009F73F7" w:rsidRPr="00B23DEB">
        <w:t>the conflicting interest</w:t>
      </w:r>
      <w:r w:rsidR="00A8362C" w:rsidRPr="00B23DEB">
        <w:t>s</w:t>
      </w:r>
      <w:r w:rsidR="009F73F7" w:rsidRPr="00B23DEB">
        <w:t xml:space="preserve"> at stake</w:t>
      </w:r>
      <w:r w:rsidR="00A8362C" w:rsidRPr="00B23DEB">
        <w:t xml:space="preserve"> were properly weighed</w:t>
      </w:r>
      <w:r w:rsidR="009F73F7" w:rsidRPr="00B23DEB">
        <w:t xml:space="preserve">. </w:t>
      </w:r>
      <w:r w:rsidR="004461EA" w:rsidRPr="00B23DEB">
        <w:t xml:space="preserve">The Government asserted </w:t>
      </w:r>
      <w:r w:rsidR="003C6119" w:rsidRPr="00B23DEB">
        <w:t xml:space="preserve">that the legal basis for the </w:t>
      </w:r>
      <w:r w:rsidR="008D62F3" w:rsidRPr="00B23DEB">
        <w:t xml:space="preserve">exhumation was </w:t>
      </w:r>
      <w:r w:rsidR="003C6119" w:rsidRPr="00B23DEB">
        <w:t>fully comp</w:t>
      </w:r>
      <w:r w:rsidR="008D62F3" w:rsidRPr="00B23DEB">
        <w:t xml:space="preserve">atible </w:t>
      </w:r>
      <w:r w:rsidR="003C6119" w:rsidRPr="00B23DEB">
        <w:t>with the relevant case-law requirements.</w:t>
      </w:r>
    </w:p>
    <w:p w:rsidR="00181422" w:rsidRPr="00B23DEB" w:rsidRDefault="00E61AC7" w:rsidP="00B23DEB">
      <w:pPr>
        <w:pStyle w:val="ECHRPara"/>
      </w:pPr>
      <w:r w:rsidRPr="00B23DEB">
        <w:fldChar w:fldCharType="begin"/>
      </w:r>
      <w:r w:rsidRPr="00B23DEB">
        <w:instrText xml:space="preserve"> SEQ level0 \*arabic </w:instrText>
      </w:r>
      <w:r w:rsidRPr="00B23DEB">
        <w:fldChar w:fldCharType="separate"/>
      </w:r>
      <w:r w:rsidR="006549E3">
        <w:rPr>
          <w:noProof/>
        </w:rPr>
        <w:t>117</w:t>
      </w:r>
      <w:r w:rsidRPr="00B23DEB">
        <w:fldChar w:fldCharType="end"/>
      </w:r>
      <w:r w:rsidRPr="00B23DEB">
        <w:t>.  </w:t>
      </w:r>
      <w:r w:rsidR="005250BA" w:rsidRPr="00B23DEB">
        <w:t>The</w:t>
      </w:r>
      <w:r w:rsidR="00340A47" w:rsidRPr="00B23DEB">
        <w:t xml:space="preserve"> Court </w:t>
      </w:r>
      <w:r w:rsidR="00E64230" w:rsidRPr="00B23DEB">
        <w:t>notes that both parties agree</w:t>
      </w:r>
      <w:r w:rsidR="001334D2" w:rsidRPr="00B23DEB">
        <w:t>d</w:t>
      </w:r>
      <w:r w:rsidR="00E64230" w:rsidRPr="00B23DEB">
        <w:t xml:space="preserve"> that the </w:t>
      </w:r>
      <w:r w:rsidR="009E7B7C" w:rsidRPr="00B23DEB">
        <w:t>CCP provided a </w:t>
      </w:r>
      <w:r w:rsidR="00636872" w:rsidRPr="00B23DEB">
        <w:t xml:space="preserve">legal basis for the </w:t>
      </w:r>
      <w:r w:rsidR="00E64230" w:rsidRPr="00B23DEB">
        <w:t xml:space="preserve">exhumation. The Court is therefore satisfied </w:t>
      </w:r>
      <w:r w:rsidR="00E5407D" w:rsidRPr="00B23DEB">
        <w:t xml:space="preserve">that </w:t>
      </w:r>
      <w:r w:rsidR="00477C8D" w:rsidRPr="00B23DEB">
        <w:t>the interference complained of had a legal basi</w:t>
      </w:r>
      <w:r w:rsidR="00C7382B" w:rsidRPr="00B23DEB">
        <w:t>s in Polish law, namely Article </w:t>
      </w:r>
      <w:r w:rsidR="00477C8D" w:rsidRPr="00B23DEB">
        <w:t>210 of the CCP.</w:t>
      </w:r>
    </w:p>
    <w:p w:rsidR="00C10F78" w:rsidRPr="00B23DEB" w:rsidRDefault="00E55822" w:rsidP="00B23DEB">
      <w:pPr>
        <w:pStyle w:val="ECHRPara"/>
      </w:pPr>
      <w:r w:rsidRPr="00B23DEB">
        <w:fldChar w:fldCharType="begin"/>
      </w:r>
      <w:r w:rsidRPr="00B23DEB">
        <w:instrText xml:space="preserve"> SEQ level0 \*arabic </w:instrText>
      </w:r>
      <w:r w:rsidRPr="00B23DEB">
        <w:fldChar w:fldCharType="separate"/>
      </w:r>
      <w:r w:rsidR="006549E3">
        <w:rPr>
          <w:noProof/>
        </w:rPr>
        <w:t>118</w:t>
      </w:r>
      <w:r w:rsidRPr="00B23DEB">
        <w:rPr>
          <w:noProof/>
        </w:rPr>
        <w:fldChar w:fldCharType="end"/>
      </w:r>
      <w:r w:rsidR="00F70AA6" w:rsidRPr="00B23DEB">
        <w:t>.  </w:t>
      </w:r>
      <w:r w:rsidR="000B5944" w:rsidRPr="00B23DEB">
        <w:t xml:space="preserve">With regard to the quality of the law, </w:t>
      </w:r>
      <w:r w:rsidR="00166F97" w:rsidRPr="00B23DEB">
        <w:t xml:space="preserve">the Court </w:t>
      </w:r>
      <w:r w:rsidR="00831D9C" w:rsidRPr="00B23DEB">
        <w:t>observe</w:t>
      </w:r>
      <w:r w:rsidR="00CE57CB" w:rsidRPr="00B23DEB">
        <w:t>s</w:t>
      </w:r>
      <w:r w:rsidR="00831D9C" w:rsidRPr="00B23DEB">
        <w:t xml:space="preserve"> that </w:t>
      </w:r>
      <w:r w:rsidR="00166F97" w:rsidRPr="00B23DEB">
        <w:t xml:space="preserve">the instant case </w:t>
      </w:r>
      <w:r w:rsidR="00913DC0" w:rsidRPr="00B23DEB">
        <w:t>pertains to obligations of the State</w:t>
      </w:r>
      <w:r w:rsidR="005744C3" w:rsidRPr="00B23DEB">
        <w:t xml:space="preserve"> </w:t>
      </w:r>
      <w:r w:rsidR="00E2494C" w:rsidRPr="00B23DEB">
        <w:t xml:space="preserve">under the Convention </w:t>
      </w:r>
      <w:r w:rsidR="005744C3" w:rsidRPr="00B23DEB">
        <w:t>which may come into conflict</w:t>
      </w:r>
      <w:r w:rsidR="00913DC0" w:rsidRPr="00B23DEB">
        <w:t xml:space="preserve">. </w:t>
      </w:r>
      <w:r w:rsidR="00AB7563" w:rsidRPr="00B23DEB">
        <w:t>On the one hand,</w:t>
      </w:r>
      <w:r w:rsidR="00AB7540" w:rsidRPr="00B23DEB">
        <w:t xml:space="preserve"> Article 2 of the Convention contains a procedural obligation to carry out an effective investigation into alleged breaches of its substantive limb (see, among many other authorities, </w:t>
      </w:r>
      <w:r w:rsidR="00AB7540" w:rsidRPr="00B23DEB">
        <w:rPr>
          <w:i/>
        </w:rPr>
        <w:t>Mustafa Tunç and Fecire Tunç</w:t>
      </w:r>
      <w:r w:rsidR="00AB7540" w:rsidRPr="00B23DEB">
        <w:t xml:space="preserve"> </w:t>
      </w:r>
      <w:r w:rsidR="00AB7540" w:rsidRPr="00B23DEB">
        <w:rPr>
          <w:i/>
        </w:rPr>
        <w:t xml:space="preserve">v. Turkey </w:t>
      </w:r>
      <w:r w:rsidR="00AB7540" w:rsidRPr="00B23DEB">
        <w:t>[GC], no. 24014/05, §</w:t>
      </w:r>
      <w:r w:rsidR="00653EF6" w:rsidRPr="00B23DEB">
        <w:t>§</w:t>
      </w:r>
      <w:r w:rsidR="00AB7540" w:rsidRPr="00B23DEB">
        <w:t xml:space="preserve"> 169</w:t>
      </w:r>
      <w:r w:rsidR="00653EF6" w:rsidRPr="00B23DEB">
        <w:t>-82</w:t>
      </w:r>
      <w:r w:rsidR="00C7382B" w:rsidRPr="00B23DEB">
        <w:t>, 14 </w:t>
      </w:r>
      <w:r w:rsidR="00AB7540" w:rsidRPr="00B23DEB">
        <w:t>April 2015</w:t>
      </w:r>
      <w:r w:rsidR="00B830CA" w:rsidRPr="00B23DEB">
        <w:t>,</w:t>
      </w:r>
      <w:r w:rsidR="00AB7540" w:rsidRPr="00B23DEB">
        <w:t xml:space="preserve"> and </w:t>
      </w:r>
      <w:r w:rsidR="00B45FC3" w:rsidRPr="00B23DEB">
        <w:rPr>
          <w:i/>
        </w:rPr>
        <w:t>Armani Da Silva</w:t>
      </w:r>
      <w:r w:rsidR="00B45FC3" w:rsidRPr="00B23DEB">
        <w:t xml:space="preserve"> </w:t>
      </w:r>
      <w:r w:rsidR="00B45FC3" w:rsidRPr="00B23DEB">
        <w:rPr>
          <w:i/>
        </w:rPr>
        <w:t xml:space="preserve">v. the United Kingdom </w:t>
      </w:r>
      <w:r w:rsidR="00C7382B" w:rsidRPr="00B23DEB">
        <w:t>[GC], no. </w:t>
      </w:r>
      <w:r w:rsidR="00B45FC3" w:rsidRPr="00B23DEB">
        <w:t>5878/08, §§ 229-39, ECHR 2016</w:t>
      </w:r>
      <w:r w:rsidR="00653EF6" w:rsidRPr="00B23DEB">
        <w:t xml:space="preserve">). </w:t>
      </w:r>
      <w:r w:rsidR="00C10F78" w:rsidRPr="00B23DEB">
        <w:rPr>
          <w:bCs/>
        </w:rPr>
        <w:t>The alleged lack of an effective investigation into an alleged breach of the substantive limb of Article 2 may engage the responsibility of the High Contracting Party.</w:t>
      </w:r>
    </w:p>
    <w:p w:rsidR="00844346" w:rsidRPr="00B23DEB" w:rsidRDefault="007E05B6" w:rsidP="00B23DEB">
      <w:pPr>
        <w:pStyle w:val="ECHRPara"/>
      </w:pPr>
      <w:r w:rsidRPr="00B23DEB">
        <w:fldChar w:fldCharType="begin"/>
      </w:r>
      <w:r w:rsidRPr="00B23DEB">
        <w:instrText xml:space="preserve"> SEQ level0 \*arabic </w:instrText>
      </w:r>
      <w:r w:rsidRPr="00B23DEB">
        <w:fldChar w:fldCharType="separate"/>
      </w:r>
      <w:r w:rsidR="006549E3">
        <w:rPr>
          <w:noProof/>
        </w:rPr>
        <w:t>119</w:t>
      </w:r>
      <w:r w:rsidRPr="00B23DEB">
        <w:fldChar w:fldCharType="end"/>
      </w:r>
      <w:r w:rsidRPr="00B23DEB">
        <w:t>.  </w:t>
      </w:r>
      <w:r w:rsidR="00653EF6" w:rsidRPr="00B23DEB">
        <w:t xml:space="preserve">On the other hand, </w:t>
      </w:r>
      <w:r w:rsidR="00037FC3" w:rsidRPr="00B23DEB">
        <w:t xml:space="preserve">in carrying out an effective investigation, the authorities have an obligation to </w:t>
      </w:r>
      <w:r w:rsidR="004B125C" w:rsidRPr="00B23DEB">
        <w:t xml:space="preserve">protect the right to respect for </w:t>
      </w:r>
      <w:r w:rsidR="00BF7271" w:rsidRPr="00B23DEB">
        <w:t>everyone</w:t>
      </w:r>
      <w:r w:rsidR="00B23DEB" w:rsidRPr="00B23DEB">
        <w:t>’</w:t>
      </w:r>
      <w:r w:rsidR="00BF7271" w:rsidRPr="00B23DEB">
        <w:t xml:space="preserve">s </w:t>
      </w:r>
      <w:r w:rsidR="00FD6017" w:rsidRPr="00B23DEB">
        <w:t xml:space="preserve">private and </w:t>
      </w:r>
      <w:r w:rsidR="00037FC3" w:rsidRPr="00B23DEB">
        <w:t xml:space="preserve">family life set forth </w:t>
      </w:r>
      <w:r w:rsidR="00844346" w:rsidRPr="00B23DEB">
        <w:t>in Article 8 of the Convention. In the Government</w:t>
      </w:r>
      <w:r w:rsidR="00B23DEB" w:rsidRPr="00B23DEB">
        <w:t>’</w:t>
      </w:r>
      <w:r w:rsidR="00844346" w:rsidRPr="00B23DEB">
        <w:t xml:space="preserve">s submission, the requirements of </w:t>
      </w:r>
      <w:r w:rsidR="00636872" w:rsidRPr="00B23DEB">
        <w:t xml:space="preserve">an </w:t>
      </w:r>
      <w:r w:rsidR="00844346" w:rsidRPr="00B23DEB">
        <w:t xml:space="preserve">effective investigation </w:t>
      </w:r>
      <w:r w:rsidR="00B830CA" w:rsidRPr="00B23DEB">
        <w:t xml:space="preserve">made </w:t>
      </w:r>
      <w:r w:rsidR="00844346" w:rsidRPr="00B23DEB">
        <w:t xml:space="preserve">it necessary to provide for certain interference in the exercise of </w:t>
      </w:r>
      <w:r w:rsidR="009E7B7C" w:rsidRPr="00B23DEB">
        <w:t>a </w:t>
      </w:r>
      <w:r w:rsidR="00B830CA" w:rsidRPr="00B23DEB">
        <w:t>claimant</w:t>
      </w:r>
      <w:r w:rsidR="00B23DEB" w:rsidRPr="00B23DEB">
        <w:t>’</w:t>
      </w:r>
      <w:r w:rsidR="00B830CA" w:rsidRPr="00B23DEB">
        <w:t xml:space="preserve">s </w:t>
      </w:r>
      <w:r w:rsidR="00844346" w:rsidRPr="00B23DEB">
        <w:t xml:space="preserve">right to respect for </w:t>
      </w:r>
      <w:r w:rsidR="00636872" w:rsidRPr="00B23DEB">
        <w:t xml:space="preserve">his or her </w:t>
      </w:r>
      <w:r w:rsidR="005C7EBC" w:rsidRPr="00B23DEB">
        <w:t xml:space="preserve">private and </w:t>
      </w:r>
      <w:r w:rsidR="002F58CB" w:rsidRPr="00B23DEB">
        <w:t>family life.</w:t>
      </w:r>
    </w:p>
    <w:p w:rsidR="00181422" w:rsidRPr="00B23DEB" w:rsidRDefault="00237E5F" w:rsidP="00B23DEB">
      <w:pPr>
        <w:pStyle w:val="ECHRPara"/>
      </w:pPr>
      <w:r w:rsidRPr="00B23DEB">
        <w:fldChar w:fldCharType="begin"/>
      </w:r>
      <w:r w:rsidRPr="00B23DEB">
        <w:instrText xml:space="preserve"> SEQ level0 \*arabic </w:instrText>
      </w:r>
      <w:r w:rsidRPr="00B23DEB">
        <w:fldChar w:fldCharType="separate"/>
      </w:r>
      <w:r w:rsidR="006549E3">
        <w:rPr>
          <w:noProof/>
        </w:rPr>
        <w:t>120</w:t>
      </w:r>
      <w:r w:rsidRPr="00B23DEB">
        <w:fldChar w:fldCharType="end"/>
      </w:r>
      <w:r w:rsidRPr="00B23DEB">
        <w:t>.  In order to be “effective”</w:t>
      </w:r>
      <w:r w:rsidR="00B830CA" w:rsidRPr="00B23DEB">
        <w:t>,</w:t>
      </w:r>
      <w:r w:rsidRPr="00B23DEB">
        <w:t xml:space="preserve"> as </w:t>
      </w:r>
      <w:r w:rsidR="00636872" w:rsidRPr="00B23DEB">
        <w:t xml:space="preserve">the word </w:t>
      </w:r>
      <w:r w:rsidRPr="00B23DEB">
        <w:t xml:space="preserve">is to be understood in the context of Article 2 of the Convention, an investigation must firstly be adequate. This implies, </w:t>
      </w:r>
      <w:r w:rsidRPr="00B23DEB">
        <w:rPr>
          <w:i/>
        </w:rPr>
        <w:t>inter alia</w:t>
      </w:r>
      <w:r w:rsidRPr="00B23DEB">
        <w:t xml:space="preserve">, that </w:t>
      </w:r>
      <w:r w:rsidR="00B830CA" w:rsidRPr="00B23DEB">
        <w:t>t</w:t>
      </w:r>
      <w:r w:rsidRPr="00B23DEB">
        <w:t>he authorities must take whatever reasonable steps they can to secure the evidence concerning the incident, including eyewitness testimony, forensic evidence and, where appropriate, an autopsy which provides a complete and accurate record of injury and an objective analysis of the clinical findings, including the c</w:t>
      </w:r>
      <w:r w:rsidR="009E7B7C" w:rsidRPr="00B23DEB">
        <w:t>ause of death (see </w:t>
      </w:r>
      <w:r w:rsidRPr="00B23DEB">
        <w:rPr>
          <w:i/>
        </w:rPr>
        <w:t>Armani Da Silva</w:t>
      </w:r>
      <w:r w:rsidRPr="00B23DEB">
        <w:t xml:space="preserve">, cited above, § 233, with further references). </w:t>
      </w:r>
      <w:r w:rsidR="001C0970" w:rsidRPr="00B23DEB">
        <w:t xml:space="preserve">An effective investigation may, in some circumstances, require </w:t>
      </w:r>
      <w:r w:rsidR="006955CB" w:rsidRPr="00B23DEB">
        <w:t xml:space="preserve">the </w:t>
      </w:r>
      <w:r w:rsidR="001C0970" w:rsidRPr="00B23DEB">
        <w:t>exhumation of the bodies of the deceased (see</w:t>
      </w:r>
      <w:r w:rsidR="00C403AD" w:rsidRPr="00B23DEB">
        <w:t xml:space="preserve">, </w:t>
      </w:r>
      <w:r w:rsidR="00C403AD" w:rsidRPr="00B23DEB">
        <w:rPr>
          <w:i/>
        </w:rPr>
        <w:t>mutatis mutandis</w:t>
      </w:r>
      <w:r w:rsidR="00C403AD" w:rsidRPr="00B23DEB">
        <w:t>,</w:t>
      </w:r>
      <w:r w:rsidR="001C0970" w:rsidRPr="00B23DEB">
        <w:t xml:space="preserve"> </w:t>
      </w:r>
      <w:r w:rsidR="001C0970" w:rsidRPr="00B23DEB">
        <w:rPr>
          <w:i/>
        </w:rPr>
        <w:t>Tagayeva and Others v. Russia</w:t>
      </w:r>
      <w:r w:rsidR="001C0970" w:rsidRPr="00B23DEB">
        <w:t xml:space="preserve">, </w:t>
      </w:r>
      <w:r w:rsidR="00FB081E" w:rsidRPr="00B23DEB">
        <w:t>cited above, § 509</w:t>
      </w:r>
      <w:r w:rsidR="001C0970" w:rsidRPr="00B23DEB">
        <w:t>).</w:t>
      </w:r>
    </w:p>
    <w:p w:rsidR="00181422" w:rsidRPr="00B23DEB" w:rsidRDefault="00237E5F" w:rsidP="00B23DEB">
      <w:pPr>
        <w:pStyle w:val="ECHRPara"/>
      </w:pPr>
      <w:r w:rsidRPr="00B23DEB">
        <w:t xml:space="preserve">An effective </w:t>
      </w:r>
      <w:r w:rsidR="00B830CA" w:rsidRPr="00B23DEB">
        <w:t xml:space="preserve">investigation </w:t>
      </w:r>
      <w:r w:rsidRPr="00B23DEB">
        <w:t>must also be accessible to the victim</w:t>
      </w:r>
      <w:r w:rsidR="00B23DEB" w:rsidRPr="00B23DEB">
        <w:t>’</w:t>
      </w:r>
      <w:r w:rsidRPr="00B23DEB">
        <w:t>s family to the extent necessary to safeguard their legitimate interests (</w:t>
      </w:r>
      <w:r w:rsidR="009E7B7C" w:rsidRPr="00B23DEB">
        <w:t>see </w:t>
      </w:r>
      <w:r w:rsidR="009E7B7C" w:rsidRPr="00B23DEB">
        <w:rPr>
          <w:i/>
        </w:rPr>
        <w:t>Armani </w:t>
      </w:r>
      <w:r w:rsidR="00C403AD" w:rsidRPr="00B23DEB">
        <w:rPr>
          <w:i/>
        </w:rPr>
        <w:t>Da Silva</w:t>
      </w:r>
      <w:r w:rsidR="00C403AD" w:rsidRPr="00B23DEB">
        <w:t>, cited above, § 235</w:t>
      </w:r>
      <w:r w:rsidRPr="00B23DEB">
        <w:t xml:space="preserve">). The manner </w:t>
      </w:r>
      <w:r w:rsidR="00B830CA" w:rsidRPr="00B23DEB">
        <w:t xml:space="preserve">in which </w:t>
      </w:r>
      <w:r w:rsidRPr="00B23DEB">
        <w:t xml:space="preserve">those legitimate interests </w:t>
      </w:r>
      <w:r w:rsidR="00B830CA" w:rsidRPr="00B23DEB">
        <w:t xml:space="preserve">are safeguarded </w:t>
      </w:r>
      <w:r w:rsidRPr="00B23DEB">
        <w:t xml:space="preserve">may differ depending on a number of factors. In any event, measures available to the victims </w:t>
      </w:r>
      <w:r w:rsidR="00E6450E" w:rsidRPr="00B23DEB">
        <w:t xml:space="preserve">in the course of an investigation </w:t>
      </w:r>
      <w:r w:rsidRPr="00B23DEB">
        <w:t xml:space="preserve">should not undermine </w:t>
      </w:r>
      <w:r w:rsidR="00E6450E" w:rsidRPr="00B23DEB">
        <w:t xml:space="preserve">its </w:t>
      </w:r>
      <w:r w:rsidRPr="00B23DEB">
        <w:t>effective</w:t>
      </w:r>
      <w:r w:rsidR="00E6450E" w:rsidRPr="00B23DEB">
        <w:t>ness.</w:t>
      </w:r>
    </w:p>
    <w:p w:rsidR="002D354A" w:rsidRPr="00B23DEB" w:rsidRDefault="002D354A" w:rsidP="00B23DEB">
      <w:pPr>
        <w:pStyle w:val="ECHRPara"/>
      </w:pPr>
      <w:r w:rsidRPr="00B23DEB">
        <w:fldChar w:fldCharType="begin"/>
      </w:r>
      <w:r w:rsidRPr="00B23DEB">
        <w:instrText xml:space="preserve"> SEQ level0 \*arabic </w:instrText>
      </w:r>
      <w:r w:rsidRPr="00B23DEB">
        <w:fldChar w:fldCharType="separate"/>
      </w:r>
      <w:r w:rsidR="006549E3">
        <w:rPr>
          <w:noProof/>
        </w:rPr>
        <w:t>121</w:t>
      </w:r>
      <w:r w:rsidRPr="00B23DEB">
        <w:fldChar w:fldCharType="end"/>
      </w:r>
      <w:r w:rsidRPr="00B23DEB">
        <w:t>.  In these circumstances</w:t>
      </w:r>
      <w:r w:rsidR="009C6A17" w:rsidRPr="00B23DEB">
        <w:t>,</w:t>
      </w:r>
      <w:r w:rsidRPr="00B23DEB">
        <w:t xml:space="preserve"> the Court considers that the State authorities are required to find a due balance between the requirements of an effective investigation under Article 2 of the Convention and the protection of the right to respect for private and family life of the parties to the investigation and other persons affected. In the </w:t>
      </w:r>
      <w:r w:rsidR="003362AD" w:rsidRPr="00B23DEB">
        <w:t>applicants</w:t>
      </w:r>
      <w:r w:rsidR="00B23DEB" w:rsidRPr="00B23DEB">
        <w:t>’</w:t>
      </w:r>
      <w:r w:rsidR="003362AD" w:rsidRPr="00B23DEB">
        <w:t xml:space="preserve"> </w:t>
      </w:r>
      <w:r w:rsidRPr="00B23DEB">
        <w:t>case, the requirements of the investigation</w:t>
      </w:r>
      <w:r w:rsidR="00B23DEB" w:rsidRPr="00B23DEB">
        <w:t>’</w:t>
      </w:r>
      <w:r w:rsidRPr="00B23DEB">
        <w:t xml:space="preserve">s effectiveness have to be reconciled to the highest possible degree with the right to respect for </w:t>
      </w:r>
      <w:r w:rsidR="003362AD" w:rsidRPr="00B23DEB">
        <w:t xml:space="preserve">their </w:t>
      </w:r>
      <w:r w:rsidRPr="00B23DEB">
        <w:t>private and family life.</w:t>
      </w:r>
      <w:r w:rsidR="006F4DC1" w:rsidRPr="00B23DEB">
        <w:t xml:space="preserve"> </w:t>
      </w:r>
      <w:r w:rsidR="006F4DC1" w:rsidRPr="00B23DEB">
        <w:rPr>
          <w:bCs/>
        </w:rPr>
        <w:t>There may be circumstances in which exhumation is justified, despite the opposition by the family.</w:t>
      </w:r>
    </w:p>
    <w:p w:rsidR="00A17087" w:rsidRPr="00B23DEB" w:rsidRDefault="00A17087" w:rsidP="00B23DEB">
      <w:pPr>
        <w:pStyle w:val="ECHRPara"/>
      </w:pPr>
      <w:r w:rsidRPr="00B23DEB">
        <w:fldChar w:fldCharType="begin"/>
      </w:r>
      <w:r w:rsidRPr="00B23DEB">
        <w:instrText xml:space="preserve"> SEQ level0 \*arabic </w:instrText>
      </w:r>
      <w:r w:rsidRPr="00B23DEB">
        <w:fldChar w:fldCharType="separate"/>
      </w:r>
      <w:r w:rsidR="006549E3">
        <w:rPr>
          <w:noProof/>
        </w:rPr>
        <w:t>122</w:t>
      </w:r>
      <w:r w:rsidRPr="00B23DEB">
        <w:fldChar w:fldCharType="end"/>
      </w:r>
      <w:r w:rsidRPr="00B23DEB">
        <w:t>.  The Court agrees with the Government that the investigation in the present case concerns an incident of unprecedented gravity, which affected the entire functioning of the State. At the same time, the Court is mindful of the importance of the applicants</w:t>
      </w:r>
      <w:r w:rsidR="00B23DEB" w:rsidRPr="00B23DEB">
        <w:t>’</w:t>
      </w:r>
      <w:r w:rsidRPr="00B23DEB">
        <w:t xml:space="preserve"> interest in ensuring that the remains of their deceased husbands were respected.</w:t>
      </w:r>
    </w:p>
    <w:p w:rsidR="00181422" w:rsidRPr="00B23DEB" w:rsidRDefault="00937FD9" w:rsidP="00B23DEB">
      <w:pPr>
        <w:pStyle w:val="ECHRPara"/>
      </w:pPr>
      <w:r w:rsidRPr="00B23DEB">
        <w:fldChar w:fldCharType="begin"/>
      </w:r>
      <w:r w:rsidRPr="00B23DEB">
        <w:instrText xml:space="preserve"> SEQ level0 \*arabic </w:instrText>
      </w:r>
      <w:r w:rsidRPr="00B23DEB">
        <w:fldChar w:fldCharType="separate"/>
      </w:r>
      <w:r w:rsidR="006549E3">
        <w:rPr>
          <w:noProof/>
        </w:rPr>
        <w:t>123</w:t>
      </w:r>
      <w:r w:rsidRPr="00B23DEB">
        <w:fldChar w:fldCharType="end"/>
      </w:r>
      <w:r w:rsidRPr="00B23DEB">
        <w:t>.  </w:t>
      </w:r>
      <w:r w:rsidR="00454EBA" w:rsidRPr="00B23DEB">
        <w:t>T</w:t>
      </w:r>
      <w:r w:rsidR="00635467" w:rsidRPr="00B23DEB">
        <w:t>he</w:t>
      </w:r>
      <w:r w:rsidR="00B830CA" w:rsidRPr="00B23DEB">
        <w:t xml:space="preserve"> Government</w:t>
      </w:r>
      <w:r w:rsidR="00635467" w:rsidRPr="00B23DEB">
        <w:t xml:space="preserve"> submitted that the legislature </w:t>
      </w:r>
      <w:r w:rsidR="00597DC6" w:rsidRPr="00B23DEB">
        <w:t xml:space="preserve">had </w:t>
      </w:r>
      <w:r w:rsidR="00635467" w:rsidRPr="00B23DEB">
        <w:t xml:space="preserve">excluded the possibility </w:t>
      </w:r>
      <w:r w:rsidR="00514A75" w:rsidRPr="00B23DEB">
        <w:t xml:space="preserve">of lodging an interlocutory appeal against </w:t>
      </w:r>
      <w:r w:rsidR="00597DC6" w:rsidRPr="00B23DEB">
        <w:t xml:space="preserve">a </w:t>
      </w:r>
      <w:r w:rsidR="00514A75" w:rsidRPr="00B23DEB">
        <w:t>prosecutor</w:t>
      </w:r>
      <w:r w:rsidR="00B23DEB" w:rsidRPr="00B23DEB">
        <w:t>’</w:t>
      </w:r>
      <w:r w:rsidR="00514A75" w:rsidRPr="00B23DEB">
        <w:t xml:space="preserve">s decision ordering exhumation, </w:t>
      </w:r>
      <w:r w:rsidR="00FB05E3" w:rsidRPr="00B23DEB">
        <w:t xml:space="preserve">since otherwise the </w:t>
      </w:r>
      <w:r w:rsidR="00597DC6" w:rsidRPr="00B23DEB">
        <w:t>prosecution</w:t>
      </w:r>
      <w:r w:rsidR="00B23DEB" w:rsidRPr="00B23DEB">
        <w:t>’</w:t>
      </w:r>
      <w:r w:rsidR="00597DC6" w:rsidRPr="00B23DEB">
        <w:t xml:space="preserve">s </w:t>
      </w:r>
      <w:r w:rsidR="00FB05E3" w:rsidRPr="00B23DEB">
        <w:t xml:space="preserve">ability to </w:t>
      </w:r>
      <w:r w:rsidR="00470B7B" w:rsidRPr="00B23DEB">
        <w:t xml:space="preserve">conduct </w:t>
      </w:r>
      <w:r w:rsidR="00FB05E3" w:rsidRPr="00B23DEB">
        <w:t xml:space="preserve">an investigation would be </w:t>
      </w:r>
      <w:r w:rsidR="005C1B21" w:rsidRPr="00B23DEB">
        <w:t xml:space="preserve">obstructed by numerous appeals </w:t>
      </w:r>
      <w:r w:rsidR="00B830CA" w:rsidRPr="00B23DEB">
        <w:t xml:space="preserve">lodged by </w:t>
      </w:r>
      <w:r w:rsidR="005C1B21" w:rsidRPr="00B23DEB">
        <w:t xml:space="preserve">unsatisfied parties. </w:t>
      </w:r>
      <w:r w:rsidR="00CF2877" w:rsidRPr="00B23DEB">
        <w:t xml:space="preserve">However, the </w:t>
      </w:r>
      <w:r w:rsidR="00AD2572" w:rsidRPr="00B23DEB">
        <w:t xml:space="preserve">Court notes that the </w:t>
      </w:r>
      <w:r w:rsidR="00CF2877" w:rsidRPr="00B23DEB">
        <w:t xml:space="preserve">Code of Criminal Procedure does not </w:t>
      </w:r>
      <w:r w:rsidR="008D5F0E" w:rsidRPr="00B23DEB">
        <w:t xml:space="preserve">exclude all </w:t>
      </w:r>
      <w:r w:rsidR="00237E5F" w:rsidRPr="00B23DEB">
        <w:t xml:space="preserve">judicial </w:t>
      </w:r>
      <w:r w:rsidR="008D5F0E" w:rsidRPr="00B23DEB">
        <w:t xml:space="preserve">scrutiny in the exercise of </w:t>
      </w:r>
      <w:r w:rsidR="00166F97" w:rsidRPr="00B23DEB">
        <w:t xml:space="preserve">prosecutorial </w:t>
      </w:r>
      <w:r w:rsidR="008D5F0E" w:rsidRPr="00B23DEB">
        <w:t xml:space="preserve">powers in </w:t>
      </w:r>
      <w:r w:rsidR="00597DC6" w:rsidRPr="00B23DEB">
        <w:t xml:space="preserve">an </w:t>
      </w:r>
      <w:r w:rsidR="008D5F0E" w:rsidRPr="00B23DEB">
        <w:t xml:space="preserve">investigation. </w:t>
      </w:r>
      <w:r w:rsidR="00AD2572" w:rsidRPr="00B23DEB">
        <w:t>C</w:t>
      </w:r>
      <w:r w:rsidR="00CF2877" w:rsidRPr="00B23DEB">
        <w:t>ertain deci</w:t>
      </w:r>
      <w:r w:rsidR="008D5F0E" w:rsidRPr="00B23DEB">
        <w:t xml:space="preserve">sions </w:t>
      </w:r>
      <w:r w:rsidR="005E6933" w:rsidRPr="00B23DEB">
        <w:t xml:space="preserve">taken by </w:t>
      </w:r>
      <w:r w:rsidR="009E7B7C" w:rsidRPr="00B23DEB">
        <w:t>a </w:t>
      </w:r>
      <w:r w:rsidR="00CF2877" w:rsidRPr="00B23DEB">
        <w:t xml:space="preserve">prosecutor </w:t>
      </w:r>
      <w:r w:rsidR="005C116B" w:rsidRPr="00B23DEB">
        <w:t xml:space="preserve">in the course of an investigation </w:t>
      </w:r>
      <w:r w:rsidR="00CF2877" w:rsidRPr="00B23DEB">
        <w:t xml:space="preserve">are amenable to </w:t>
      </w:r>
      <w:r w:rsidR="008D5F0E" w:rsidRPr="00B23DEB">
        <w:t>judicial</w:t>
      </w:r>
      <w:r w:rsidR="00CF2877" w:rsidRPr="00B23DEB">
        <w:t xml:space="preserve"> review.</w:t>
      </w:r>
      <w:r w:rsidR="00720D84" w:rsidRPr="00B23DEB">
        <w:t xml:space="preserve"> </w:t>
      </w:r>
      <w:r w:rsidR="00CF2877" w:rsidRPr="00B23DEB">
        <w:t>This concerns decisions on search and s</w:t>
      </w:r>
      <w:r w:rsidR="008D5F0E" w:rsidRPr="00B23DEB">
        <w:t>eizure (Article 236 of the CCP)</w:t>
      </w:r>
      <w:r w:rsidR="000D2BD2" w:rsidRPr="00B23DEB">
        <w:t xml:space="preserve">, </w:t>
      </w:r>
      <w:r w:rsidR="007F3933" w:rsidRPr="00B23DEB">
        <w:t>on control and recording of telephone communica</w:t>
      </w:r>
      <w:r w:rsidR="009D5E37" w:rsidRPr="00B23DEB">
        <w:t>tions (Article </w:t>
      </w:r>
      <w:r w:rsidR="000D2BD2" w:rsidRPr="00B23DEB">
        <w:t>240 of the CCP) and on the application of pre</w:t>
      </w:r>
      <w:r w:rsidR="00DC7387" w:rsidRPr="00B23DEB">
        <w:t>ventive measures (Article 252 § </w:t>
      </w:r>
      <w:r w:rsidR="000D2BD2" w:rsidRPr="00B23DEB">
        <w:t>2 of the CCP).</w:t>
      </w:r>
    </w:p>
    <w:p w:rsidR="00181422" w:rsidRPr="00B23DEB" w:rsidRDefault="00293004" w:rsidP="00B23DEB">
      <w:pPr>
        <w:pStyle w:val="ECHRPara"/>
      </w:pPr>
      <w:r w:rsidRPr="00B23DEB">
        <w:fldChar w:fldCharType="begin"/>
      </w:r>
      <w:r w:rsidRPr="00B23DEB">
        <w:instrText xml:space="preserve"> SEQ level0 \*arabic </w:instrText>
      </w:r>
      <w:r w:rsidRPr="00B23DEB">
        <w:fldChar w:fldCharType="separate"/>
      </w:r>
      <w:r w:rsidR="006549E3">
        <w:rPr>
          <w:noProof/>
        </w:rPr>
        <w:t>124</w:t>
      </w:r>
      <w:r w:rsidRPr="00B23DEB">
        <w:fldChar w:fldCharType="end"/>
      </w:r>
      <w:r w:rsidRPr="00B23DEB">
        <w:t>.  </w:t>
      </w:r>
      <w:r w:rsidR="00185035" w:rsidRPr="00B23DEB">
        <w:t xml:space="preserve">In the instant case, the prosecutor ordered the exhumation of </w:t>
      </w:r>
      <w:r w:rsidR="00FE0B5B" w:rsidRPr="00B23DEB">
        <w:t xml:space="preserve">the </w:t>
      </w:r>
      <w:r w:rsidR="00185035" w:rsidRPr="00B23DEB">
        <w:t>remains of the applicants</w:t>
      </w:r>
      <w:r w:rsidR="00B23DEB" w:rsidRPr="00B23DEB">
        <w:t>’</w:t>
      </w:r>
      <w:r w:rsidR="00185035" w:rsidRPr="00B23DEB">
        <w:t xml:space="preserve"> husbands. </w:t>
      </w:r>
      <w:r w:rsidR="0069614C" w:rsidRPr="00B23DEB">
        <w:t xml:space="preserve">When issuing his order, the prosecutor was not required by the CCP to </w:t>
      </w:r>
      <w:r w:rsidR="00305B88" w:rsidRPr="00B23DEB">
        <w:t xml:space="preserve">assess whether the aims of the investigation could have been </w:t>
      </w:r>
      <w:r w:rsidR="00F02EF4" w:rsidRPr="00B23DEB">
        <w:t xml:space="preserve">attained </w:t>
      </w:r>
      <w:r w:rsidR="00305B88" w:rsidRPr="00B23DEB">
        <w:t xml:space="preserve">through less restrictive means and </w:t>
      </w:r>
      <w:r w:rsidR="00E30881" w:rsidRPr="00B23DEB">
        <w:t xml:space="preserve">to evaluate </w:t>
      </w:r>
      <w:r w:rsidR="00305B88" w:rsidRPr="00B23DEB">
        <w:t xml:space="preserve">the possible implications of the </w:t>
      </w:r>
      <w:r w:rsidR="00E30881" w:rsidRPr="00B23DEB">
        <w:t xml:space="preserve">impugned </w:t>
      </w:r>
      <w:r w:rsidR="00305B88" w:rsidRPr="00B23DEB">
        <w:t>measures</w:t>
      </w:r>
      <w:r w:rsidR="00E30881" w:rsidRPr="00B23DEB">
        <w:t xml:space="preserve"> </w:t>
      </w:r>
      <w:r w:rsidR="00305B88" w:rsidRPr="00B23DEB">
        <w:t xml:space="preserve">on the </w:t>
      </w:r>
      <w:r w:rsidR="009F5D9E" w:rsidRPr="00B23DEB">
        <w:t xml:space="preserve">private and </w:t>
      </w:r>
      <w:r w:rsidR="00305B88" w:rsidRPr="00B23DEB">
        <w:t>family life of the applicants.</w:t>
      </w:r>
      <w:r w:rsidR="00F02EF4" w:rsidRPr="00B23DEB">
        <w:t xml:space="preserve"> </w:t>
      </w:r>
      <w:r w:rsidR="0069614C" w:rsidRPr="00B23DEB">
        <w:t>Furthermore, the prosecutor</w:t>
      </w:r>
      <w:r w:rsidR="00B23DEB" w:rsidRPr="00B23DEB">
        <w:t>’</w:t>
      </w:r>
      <w:r w:rsidR="0069614C" w:rsidRPr="00B23DEB">
        <w:t xml:space="preserve">s </w:t>
      </w:r>
      <w:r w:rsidR="00185035" w:rsidRPr="00B23DEB">
        <w:t xml:space="preserve">decision was not </w:t>
      </w:r>
      <w:r w:rsidR="00DD68DA" w:rsidRPr="00B23DEB">
        <w:t xml:space="preserve">amenable to appeal before </w:t>
      </w:r>
      <w:r w:rsidR="00203D1D" w:rsidRPr="00B23DEB">
        <w:t xml:space="preserve">a criminal court </w:t>
      </w:r>
      <w:r w:rsidR="00185035" w:rsidRPr="00B23DEB">
        <w:t xml:space="preserve">or any other form of </w:t>
      </w:r>
      <w:r w:rsidR="00203D1D" w:rsidRPr="00B23DEB">
        <w:t xml:space="preserve">adequate </w:t>
      </w:r>
      <w:r w:rsidR="00185035" w:rsidRPr="00B23DEB">
        <w:t>scrutiny before an independent authority</w:t>
      </w:r>
      <w:r w:rsidR="00203D1D" w:rsidRPr="00B23DEB">
        <w:t>.</w:t>
      </w:r>
    </w:p>
    <w:p w:rsidR="00F02EF4" w:rsidRPr="00B23DEB" w:rsidRDefault="00C27575" w:rsidP="00B23DEB">
      <w:pPr>
        <w:pStyle w:val="ECHRPara"/>
      </w:pPr>
      <w:r w:rsidRPr="00B23DEB">
        <w:fldChar w:fldCharType="begin"/>
      </w:r>
      <w:r w:rsidRPr="00B23DEB">
        <w:instrText xml:space="preserve"> SEQ level0 \*arabic </w:instrText>
      </w:r>
      <w:r w:rsidRPr="00B23DEB">
        <w:fldChar w:fldCharType="separate"/>
      </w:r>
      <w:r w:rsidR="006549E3">
        <w:rPr>
          <w:noProof/>
        </w:rPr>
        <w:t>125</w:t>
      </w:r>
      <w:r w:rsidRPr="00B23DEB">
        <w:fldChar w:fldCharType="end"/>
      </w:r>
      <w:r w:rsidRPr="00B23DEB">
        <w:t>.  </w:t>
      </w:r>
      <w:r w:rsidR="00203D1D" w:rsidRPr="00B23DEB">
        <w:t xml:space="preserve">The Court </w:t>
      </w:r>
      <w:r w:rsidR="00305B88" w:rsidRPr="00B23DEB">
        <w:t xml:space="preserve">also </w:t>
      </w:r>
      <w:r w:rsidR="00203D1D" w:rsidRPr="00B23DEB">
        <w:t>notes that the applicants attempted to obtain an injunction f</w:t>
      </w:r>
      <w:r w:rsidR="00853ADB" w:rsidRPr="00B23DEB">
        <w:t xml:space="preserve">rom </w:t>
      </w:r>
      <w:r w:rsidR="00203D1D" w:rsidRPr="00B23DEB">
        <w:t xml:space="preserve">a civil court preventing the prosecutor from carrying out the exhumations. However, the civil courts dismissed their application, having found that the prosecutor had </w:t>
      </w:r>
      <w:r w:rsidR="00B91633" w:rsidRPr="00B23DEB">
        <w:t xml:space="preserve">exercised his </w:t>
      </w:r>
      <w:r w:rsidR="00FE0B5B" w:rsidRPr="00B23DEB">
        <w:t xml:space="preserve">functions </w:t>
      </w:r>
      <w:r w:rsidR="00853ADB" w:rsidRPr="00B23DEB">
        <w:t>in compliance with the relevant provisions of the CCP</w:t>
      </w:r>
      <w:r w:rsidR="00B91633" w:rsidRPr="00B23DEB">
        <w:t>.</w:t>
      </w:r>
      <w:r w:rsidR="007D1549" w:rsidRPr="00B23DEB">
        <w:t xml:space="preserve"> </w:t>
      </w:r>
      <w:r w:rsidR="00F02EF4" w:rsidRPr="00B23DEB">
        <w:t>The civil courts neither review</w:t>
      </w:r>
      <w:r w:rsidR="00300A84" w:rsidRPr="00B23DEB">
        <w:t>ed</w:t>
      </w:r>
      <w:r w:rsidR="00F02EF4" w:rsidRPr="00B23DEB">
        <w:t xml:space="preserve"> the necessity of the impugned measure nor weigh</w:t>
      </w:r>
      <w:r w:rsidR="00300A84" w:rsidRPr="00B23DEB">
        <w:t>ed</w:t>
      </w:r>
      <w:r w:rsidR="00F02EF4" w:rsidRPr="00B23DEB">
        <w:t xml:space="preserve"> the interference resulting from the prosecutor</w:t>
      </w:r>
      <w:r w:rsidR="00B23DEB" w:rsidRPr="00B23DEB">
        <w:t>’</w:t>
      </w:r>
      <w:r w:rsidR="00F02EF4" w:rsidRPr="00B23DEB">
        <w:t>s decision against the applicants</w:t>
      </w:r>
      <w:r w:rsidR="00B23DEB" w:rsidRPr="00B23DEB">
        <w:t>’</w:t>
      </w:r>
      <w:r w:rsidR="00F02EF4" w:rsidRPr="00B23DEB">
        <w:t xml:space="preserve"> interests safeguarded by Article 8 of the Convention (see paragraphs 4</w:t>
      </w:r>
      <w:r w:rsidR="00064E94" w:rsidRPr="00B23DEB">
        <w:t xml:space="preserve">1-42 </w:t>
      </w:r>
      <w:r w:rsidR="00F02EF4" w:rsidRPr="00B23DEB">
        <w:t>above).</w:t>
      </w:r>
    </w:p>
    <w:p w:rsidR="00181422" w:rsidRPr="00B23DEB" w:rsidRDefault="00A5740A" w:rsidP="00B23DEB">
      <w:pPr>
        <w:pStyle w:val="ECHRPara"/>
      </w:pPr>
      <w:r w:rsidRPr="00B23DEB">
        <w:fldChar w:fldCharType="begin"/>
      </w:r>
      <w:r w:rsidRPr="00B23DEB">
        <w:instrText xml:space="preserve"> SEQ level0 \*arabic </w:instrText>
      </w:r>
      <w:r w:rsidRPr="00B23DEB">
        <w:fldChar w:fldCharType="separate"/>
      </w:r>
      <w:r w:rsidR="006549E3">
        <w:rPr>
          <w:noProof/>
        </w:rPr>
        <w:t>126</w:t>
      </w:r>
      <w:r w:rsidRPr="00B23DEB">
        <w:fldChar w:fldCharType="end"/>
      </w:r>
      <w:r w:rsidRPr="00B23DEB">
        <w:t>.  </w:t>
      </w:r>
      <w:r w:rsidR="00CF6AB8" w:rsidRPr="00B23DEB">
        <w:t xml:space="preserve">Having regard to the foregoing considerations, the </w:t>
      </w:r>
      <w:r w:rsidR="002518EE" w:rsidRPr="00B23DEB">
        <w:t>Court concludes that Polish law d</w:t>
      </w:r>
      <w:r w:rsidR="00185035" w:rsidRPr="00B23DEB">
        <w:t xml:space="preserve">id </w:t>
      </w:r>
      <w:r w:rsidR="002518EE" w:rsidRPr="00B23DEB">
        <w:t xml:space="preserve">not provide </w:t>
      </w:r>
      <w:r w:rsidR="00CF6AB8" w:rsidRPr="00B23DEB">
        <w:t xml:space="preserve">sufficient </w:t>
      </w:r>
      <w:r w:rsidR="002518EE" w:rsidRPr="00B23DEB">
        <w:t xml:space="preserve">safeguards against </w:t>
      </w:r>
      <w:r w:rsidR="00CF6AB8" w:rsidRPr="00B23DEB">
        <w:t xml:space="preserve">arbitrariness </w:t>
      </w:r>
      <w:r w:rsidR="00185035" w:rsidRPr="00B23DEB">
        <w:t xml:space="preserve">with regard to a prosecutorial </w:t>
      </w:r>
      <w:r w:rsidR="00CF6AB8" w:rsidRPr="00B23DEB">
        <w:t>decision ordering</w:t>
      </w:r>
      <w:r w:rsidR="00F44B1D" w:rsidRPr="00B23DEB">
        <w:t xml:space="preserve"> exhumation. </w:t>
      </w:r>
      <w:r w:rsidR="00F53469" w:rsidRPr="00B23DEB">
        <w:t>The domestic law did not provide a mechanism to review the proportionality of the</w:t>
      </w:r>
      <w:r w:rsidR="00181422" w:rsidRPr="00B23DEB">
        <w:t xml:space="preserve"> </w:t>
      </w:r>
      <w:r w:rsidR="00F53469" w:rsidRPr="00B23DEB">
        <w:t xml:space="preserve">restrictions on the relevant Article 8 rights of the persons concerned </w:t>
      </w:r>
      <w:r w:rsidR="004833C2" w:rsidRPr="00B23DEB">
        <w:t xml:space="preserve">resulting from </w:t>
      </w:r>
      <w:r w:rsidR="00F53469" w:rsidRPr="00B23DEB">
        <w:t>the prosecutor</w:t>
      </w:r>
      <w:r w:rsidR="00B23DEB" w:rsidRPr="00B23DEB">
        <w:t>’</w:t>
      </w:r>
      <w:r w:rsidR="004833C2" w:rsidRPr="00B23DEB">
        <w:t>s decision</w:t>
      </w:r>
      <w:r w:rsidR="00F53469" w:rsidRPr="00B23DEB">
        <w:t xml:space="preserve"> (see </w:t>
      </w:r>
      <w:r w:rsidR="00F53469" w:rsidRPr="00B23DEB">
        <w:rPr>
          <w:i/>
        </w:rPr>
        <w:t>Polyakova and Others</w:t>
      </w:r>
      <w:r w:rsidR="009D5E37" w:rsidRPr="00B23DEB">
        <w:t>, cited above, §§ </w:t>
      </w:r>
      <w:r w:rsidR="00F53469" w:rsidRPr="00B23DEB">
        <w:t>99 and 101).</w:t>
      </w:r>
      <w:r w:rsidR="00181422" w:rsidRPr="00B23DEB">
        <w:t xml:space="preserve"> </w:t>
      </w:r>
      <w:r w:rsidR="002518EE" w:rsidRPr="00B23DEB">
        <w:t>The applicants were thus deprived of the minimum degree of protection to which they were entitled</w:t>
      </w:r>
      <w:r w:rsidR="00F53469" w:rsidRPr="00B23DEB">
        <w:t>.</w:t>
      </w:r>
    </w:p>
    <w:p w:rsidR="00131CE0" w:rsidRPr="00B23DEB" w:rsidRDefault="00510104" w:rsidP="00B23DEB">
      <w:pPr>
        <w:pStyle w:val="ECHRPara"/>
      </w:pPr>
      <w:r w:rsidRPr="00B23DEB">
        <w:fldChar w:fldCharType="begin"/>
      </w:r>
      <w:r w:rsidRPr="00B23DEB">
        <w:instrText xml:space="preserve"> SEQ level0 \*arabic </w:instrText>
      </w:r>
      <w:r w:rsidRPr="00B23DEB">
        <w:fldChar w:fldCharType="separate"/>
      </w:r>
      <w:r w:rsidR="006549E3">
        <w:rPr>
          <w:noProof/>
        </w:rPr>
        <w:t>127</w:t>
      </w:r>
      <w:r w:rsidRPr="00B23DEB">
        <w:fldChar w:fldCharType="end"/>
      </w:r>
      <w:r w:rsidRPr="00B23DEB">
        <w:t>.  </w:t>
      </w:r>
      <w:r w:rsidR="00131CE0" w:rsidRPr="00B23DEB">
        <w:t xml:space="preserve">The Court finds </w:t>
      </w:r>
      <w:r w:rsidR="00744F85" w:rsidRPr="00B23DEB">
        <w:t xml:space="preserve">accordingly that </w:t>
      </w:r>
      <w:r w:rsidR="00131CE0" w:rsidRPr="00B23DEB">
        <w:t>it cannot be said that the interference in question was “in accordance with the law” as required by Article 8 § 2 of the Convention.</w:t>
      </w:r>
    </w:p>
    <w:p w:rsidR="00181422" w:rsidRPr="00B23DEB" w:rsidRDefault="00744F85" w:rsidP="00B23DEB">
      <w:pPr>
        <w:pStyle w:val="ECHRPara"/>
      </w:pPr>
      <w:r w:rsidRPr="00B23DEB">
        <w:fldChar w:fldCharType="begin"/>
      </w:r>
      <w:r w:rsidRPr="00B23DEB">
        <w:instrText xml:space="preserve"> SEQ level0 \*arabic </w:instrText>
      </w:r>
      <w:r w:rsidRPr="00B23DEB">
        <w:fldChar w:fldCharType="separate"/>
      </w:r>
      <w:r w:rsidR="006549E3">
        <w:rPr>
          <w:noProof/>
        </w:rPr>
        <w:t>128</w:t>
      </w:r>
      <w:r w:rsidRPr="00B23DEB">
        <w:fldChar w:fldCharType="end"/>
      </w:r>
      <w:r w:rsidRPr="00B23DEB">
        <w:t>.  </w:t>
      </w:r>
      <w:r w:rsidR="00131CE0" w:rsidRPr="00B23DEB">
        <w:t>There has therefore been a violation of Article 8 of the Convention.</w:t>
      </w:r>
    </w:p>
    <w:p w:rsidR="00131CE0" w:rsidRPr="00B23DEB" w:rsidRDefault="00131CE0" w:rsidP="00B23DEB">
      <w:pPr>
        <w:pStyle w:val="ECHRHeading5"/>
      </w:pPr>
      <w:r w:rsidRPr="00B23DEB">
        <w:t>(ii)  Legitimate aim and necessity of the interference</w:t>
      </w:r>
    </w:p>
    <w:p w:rsidR="00181422" w:rsidRPr="00B23DEB" w:rsidRDefault="00131CE0" w:rsidP="00B23DEB">
      <w:pPr>
        <w:pStyle w:val="ECHRPara"/>
      </w:pPr>
      <w:r w:rsidRPr="00B23DEB">
        <w:fldChar w:fldCharType="begin"/>
      </w:r>
      <w:r w:rsidRPr="00B23DEB">
        <w:instrText xml:space="preserve"> SEQ level0 \*arabic </w:instrText>
      </w:r>
      <w:r w:rsidRPr="00B23DEB">
        <w:fldChar w:fldCharType="separate"/>
      </w:r>
      <w:r w:rsidR="006549E3">
        <w:rPr>
          <w:noProof/>
        </w:rPr>
        <w:t>129</w:t>
      </w:r>
      <w:r w:rsidRPr="00B23DEB">
        <w:fldChar w:fldCharType="end"/>
      </w:r>
      <w:r w:rsidRPr="00B23DEB">
        <w:t xml:space="preserve">.  Having regard to the above conclusion, the Court does not consider it necessary to review compliance with the other requirements of Article 8 § 2 in this case (see, for example, </w:t>
      </w:r>
      <w:r w:rsidR="00744F85" w:rsidRPr="00B23DEB">
        <w:rPr>
          <w:i/>
        </w:rPr>
        <w:t>Kopp v. Switzerland</w:t>
      </w:r>
      <w:r w:rsidR="00744F85" w:rsidRPr="00B23DEB">
        <w:t xml:space="preserve">, 25 March 1998, § 76, </w:t>
      </w:r>
      <w:r w:rsidR="00744F85" w:rsidRPr="00B23DEB">
        <w:rPr>
          <w:i/>
        </w:rPr>
        <w:t>Reports of Judgments and Decisions</w:t>
      </w:r>
      <w:r w:rsidR="00744F85" w:rsidRPr="00B23DEB">
        <w:t xml:space="preserve"> 1998</w:t>
      </w:r>
      <w:r w:rsidR="00744F85" w:rsidRPr="00B23DEB">
        <w:noBreakHyphen/>
        <w:t>II).</w:t>
      </w:r>
    </w:p>
    <w:p w:rsidR="00C64785" w:rsidRPr="00B23DEB" w:rsidRDefault="007A7A22" w:rsidP="00B23DEB">
      <w:pPr>
        <w:pStyle w:val="ECHRHeading1"/>
      </w:pPr>
      <w:r w:rsidRPr="00B23DEB">
        <w:t>III</w:t>
      </w:r>
      <w:r w:rsidR="00642C37" w:rsidRPr="00B23DEB">
        <w:t xml:space="preserve">.  ALLEGED VIOLATION OF ARTICLE </w:t>
      </w:r>
      <w:r w:rsidR="00827E78" w:rsidRPr="00B23DEB">
        <w:t>13</w:t>
      </w:r>
      <w:r w:rsidR="00642C37" w:rsidRPr="00B23DEB">
        <w:t xml:space="preserve"> OF THE CONVENTION</w:t>
      </w:r>
    </w:p>
    <w:p w:rsidR="00BE39B7" w:rsidRPr="00B23DEB" w:rsidRDefault="00E941D8" w:rsidP="00B23DEB">
      <w:pPr>
        <w:pStyle w:val="ECHRPara"/>
      </w:pPr>
      <w:r w:rsidRPr="00B23DEB">
        <w:fldChar w:fldCharType="begin"/>
      </w:r>
      <w:r w:rsidRPr="00B23DEB">
        <w:instrText xml:space="preserve"> SEQ level0 \*arabic </w:instrText>
      </w:r>
      <w:r w:rsidRPr="00B23DEB">
        <w:fldChar w:fldCharType="separate"/>
      </w:r>
      <w:r w:rsidR="006549E3">
        <w:rPr>
          <w:noProof/>
        </w:rPr>
        <w:t>130</w:t>
      </w:r>
      <w:r w:rsidRPr="00B23DEB">
        <w:fldChar w:fldCharType="end"/>
      </w:r>
      <w:r w:rsidR="00642C37" w:rsidRPr="00B23DEB">
        <w:t>.  </w:t>
      </w:r>
      <w:r w:rsidR="003534DA" w:rsidRPr="00B23DEB">
        <w:rPr>
          <w:lang w:val="en-US"/>
        </w:rPr>
        <w:t>The applicants further allege</w:t>
      </w:r>
      <w:r w:rsidR="00B955A0" w:rsidRPr="00B23DEB">
        <w:rPr>
          <w:lang w:val="en-US"/>
        </w:rPr>
        <w:t>d</w:t>
      </w:r>
      <w:r w:rsidR="003534DA" w:rsidRPr="00B23DEB">
        <w:rPr>
          <w:lang w:val="en-US"/>
        </w:rPr>
        <w:t xml:space="preserve"> a violation of Article 13 read in conjunction with Article 8 of the Convention, complaining that the domestic law did not provide them with an effective remedy </w:t>
      </w:r>
      <w:r w:rsidR="00AC1622" w:rsidRPr="00B23DEB">
        <w:rPr>
          <w:lang w:val="en-US"/>
        </w:rPr>
        <w:t xml:space="preserve">as they were unable </w:t>
      </w:r>
      <w:r w:rsidR="003534DA" w:rsidRPr="00B23DEB">
        <w:rPr>
          <w:lang w:val="en-US"/>
        </w:rPr>
        <w:t>to have the prosecutor</w:t>
      </w:r>
      <w:r w:rsidR="00B23DEB" w:rsidRPr="00B23DEB">
        <w:rPr>
          <w:lang w:val="en-US"/>
        </w:rPr>
        <w:t>’</w:t>
      </w:r>
      <w:r w:rsidR="003534DA" w:rsidRPr="00B23DEB">
        <w:rPr>
          <w:lang w:val="en-US"/>
        </w:rPr>
        <w:t xml:space="preserve">s decision on exhumation reviewed </w:t>
      </w:r>
      <w:r w:rsidR="00AC1622" w:rsidRPr="00B23DEB">
        <w:rPr>
          <w:lang w:val="en-US"/>
        </w:rPr>
        <w:t xml:space="preserve">in </w:t>
      </w:r>
      <w:r w:rsidR="003534DA" w:rsidRPr="00B23DEB">
        <w:rPr>
          <w:lang w:val="en-US"/>
        </w:rPr>
        <w:t>either criminal or civil proceedings.</w:t>
      </w:r>
      <w:r w:rsidR="00B955A0" w:rsidRPr="00B23DEB">
        <w:rPr>
          <w:lang w:val="en-US"/>
        </w:rPr>
        <w:t xml:space="preserve"> </w:t>
      </w:r>
      <w:r w:rsidR="00BE39B7" w:rsidRPr="00B23DEB">
        <w:t>Article 13 of the Convention reads as follows:</w:t>
      </w:r>
    </w:p>
    <w:p w:rsidR="00BE39B7" w:rsidRPr="00B23DEB" w:rsidRDefault="00BE39B7" w:rsidP="00B23DEB">
      <w:pPr>
        <w:pStyle w:val="ECHRParaQuote"/>
      </w:pPr>
      <w:r w:rsidRPr="00B23DEB">
        <w:t>“Everyone whose rights and freedoms as set forth in [the] Convention are violated shall have an effective remedy before a national authority notwithstanding that the violation has been committed by persons acting in an official capacity.”</w:t>
      </w:r>
    </w:p>
    <w:p w:rsidR="009A622A" w:rsidRPr="00B23DEB" w:rsidRDefault="008943F9" w:rsidP="00B23DEB">
      <w:pPr>
        <w:pStyle w:val="ECHRPara"/>
      </w:pPr>
      <w:r w:rsidRPr="00B23DEB">
        <w:fldChar w:fldCharType="begin"/>
      </w:r>
      <w:r w:rsidRPr="00B23DEB">
        <w:instrText xml:space="preserve"> SEQ level0 \*arabic </w:instrText>
      </w:r>
      <w:r w:rsidRPr="00B23DEB">
        <w:fldChar w:fldCharType="separate"/>
      </w:r>
      <w:r w:rsidR="006549E3">
        <w:rPr>
          <w:noProof/>
        </w:rPr>
        <w:t>131</w:t>
      </w:r>
      <w:r w:rsidRPr="00B23DEB">
        <w:fldChar w:fldCharType="end"/>
      </w:r>
      <w:r w:rsidRPr="00B23DEB">
        <w:t>.  </w:t>
      </w:r>
      <w:r w:rsidR="00B955A0" w:rsidRPr="00B23DEB">
        <w:t>The Court notes that this complaint is linked to the one examined above and must therefore likewise be declared admissible.</w:t>
      </w:r>
      <w:r w:rsidRPr="00B23DEB">
        <w:t xml:space="preserve"> However, h</w:t>
      </w:r>
      <w:r w:rsidR="00642C37" w:rsidRPr="00B23DEB">
        <w:t xml:space="preserve">aving regard to </w:t>
      </w:r>
      <w:r w:rsidR="00D06F99" w:rsidRPr="00B23DEB">
        <w:t xml:space="preserve">its </w:t>
      </w:r>
      <w:r w:rsidR="00642C37" w:rsidRPr="00B23DEB">
        <w:t xml:space="preserve">finding relating to Article </w:t>
      </w:r>
      <w:r w:rsidR="00CE22FD" w:rsidRPr="00B23DEB">
        <w:t xml:space="preserve">8 of the Convention </w:t>
      </w:r>
      <w:r w:rsidR="00642C37" w:rsidRPr="00B23DEB">
        <w:t>(see paragraph</w:t>
      </w:r>
      <w:r w:rsidR="00DC7387" w:rsidRPr="00B23DEB">
        <w:t>s </w:t>
      </w:r>
      <w:r w:rsidR="00441454" w:rsidRPr="00B23DEB">
        <w:t>1</w:t>
      </w:r>
      <w:r w:rsidR="00064E94" w:rsidRPr="00B23DEB">
        <w:t xml:space="preserve">26-128 </w:t>
      </w:r>
      <w:r w:rsidR="00642C37" w:rsidRPr="00B23DEB">
        <w:t xml:space="preserve">above), the Court considers that it is not necessary to examine </w:t>
      </w:r>
      <w:r w:rsidR="00CE22FD" w:rsidRPr="00B23DEB">
        <w:t xml:space="preserve">separately </w:t>
      </w:r>
      <w:r w:rsidR="00642C37" w:rsidRPr="00B23DEB">
        <w:t xml:space="preserve">whether, in this case, there </w:t>
      </w:r>
      <w:r w:rsidR="009D5E37" w:rsidRPr="00B23DEB">
        <w:t>has been a violation of Article </w:t>
      </w:r>
      <w:r w:rsidR="00CE22FD" w:rsidRPr="00B23DEB">
        <w:t xml:space="preserve">13 </w:t>
      </w:r>
      <w:r w:rsidR="009E7B7C" w:rsidRPr="00B23DEB">
        <w:t>(see, </w:t>
      </w:r>
      <w:r w:rsidR="00642C37" w:rsidRPr="00B23DEB">
        <w:t xml:space="preserve">among other authorities, </w:t>
      </w:r>
      <w:r w:rsidR="00CE22FD" w:rsidRPr="00B23DEB">
        <w:rPr>
          <w:i/>
        </w:rPr>
        <w:t>Heino</w:t>
      </w:r>
      <w:r w:rsidR="00CE22FD" w:rsidRPr="00B23DEB">
        <w:t>, § 55</w:t>
      </w:r>
      <w:r w:rsidR="00E7634B" w:rsidRPr="00B23DEB">
        <w:t>, and</w:t>
      </w:r>
      <w:r w:rsidR="00CE22FD" w:rsidRPr="00B23DEB">
        <w:t xml:space="preserve"> </w:t>
      </w:r>
      <w:r w:rsidR="00CE22FD" w:rsidRPr="00B23DEB">
        <w:rPr>
          <w:i/>
        </w:rPr>
        <w:t>Elberte</w:t>
      </w:r>
      <w:r w:rsidR="00CE22FD" w:rsidRPr="00B23DEB">
        <w:t>, § 147, both cited above</w:t>
      </w:r>
      <w:r w:rsidR="00642C37" w:rsidRPr="00B23DEB">
        <w:t>).</w:t>
      </w:r>
    </w:p>
    <w:p w:rsidR="00C64785" w:rsidRPr="00B23DEB" w:rsidRDefault="007A7A22" w:rsidP="00B23DEB">
      <w:pPr>
        <w:pStyle w:val="ECHRHeading1"/>
      </w:pPr>
      <w:r w:rsidRPr="00B23DEB">
        <w:t>IV</w:t>
      </w:r>
      <w:r w:rsidR="00642C37" w:rsidRPr="00B23DEB">
        <w:t>.  APPLICATION OF ARTICLE 41 OF THE CONVENTION</w:t>
      </w:r>
    </w:p>
    <w:p w:rsidR="00C64785" w:rsidRPr="00B23DEB" w:rsidRDefault="00B955A0" w:rsidP="00B23DEB">
      <w:pPr>
        <w:pStyle w:val="ECHRPara"/>
      </w:pPr>
      <w:r w:rsidRPr="00B23DEB">
        <w:fldChar w:fldCharType="begin"/>
      </w:r>
      <w:r w:rsidRPr="00B23DEB">
        <w:instrText xml:space="preserve"> SEQ level0 \*arabic </w:instrText>
      </w:r>
      <w:r w:rsidRPr="00B23DEB">
        <w:fldChar w:fldCharType="separate"/>
      </w:r>
      <w:r w:rsidR="006549E3">
        <w:rPr>
          <w:noProof/>
        </w:rPr>
        <w:t>132</w:t>
      </w:r>
      <w:r w:rsidRPr="00B23DEB">
        <w:fldChar w:fldCharType="end"/>
      </w:r>
      <w:r w:rsidRPr="00B23DEB">
        <w:t>.  </w:t>
      </w:r>
      <w:r w:rsidR="00642C37" w:rsidRPr="00B23DEB">
        <w:t>Article 41 of the Convention provides:</w:t>
      </w:r>
    </w:p>
    <w:p w:rsidR="00C64785" w:rsidRPr="00B23DEB" w:rsidRDefault="00642C37" w:rsidP="00B23DEB">
      <w:pPr>
        <w:pStyle w:val="ECHRParaQuote"/>
        <w:keepNext/>
        <w:keepLines/>
      </w:pPr>
      <w:r w:rsidRPr="00B23DEB">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C64785" w:rsidRPr="00B23DEB" w:rsidRDefault="00642C37" w:rsidP="00B23DEB">
      <w:pPr>
        <w:pStyle w:val="ECHRHeading2"/>
      </w:pPr>
      <w:r w:rsidRPr="00B23DEB">
        <w:t>A.  Damage</w:t>
      </w:r>
    </w:p>
    <w:p w:rsidR="00181422" w:rsidRPr="00B23DEB" w:rsidRDefault="00E941D8" w:rsidP="00B23DEB">
      <w:pPr>
        <w:pStyle w:val="ECHRPara"/>
      </w:pPr>
      <w:r w:rsidRPr="00B23DEB">
        <w:fldChar w:fldCharType="begin"/>
      </w:r>
      <w:r w:rsidRPr="00B23DEB">
        <w:instrText xml:space="preserve"> SEQ level0 \*arabic </w:instrText>
      </w:r>
      <w:r w:rsidRPr="00B23DEB">
        <w:fldChar w:fldCharType="separate"/>
      </w:r>
      <w:r w:rsidR="006549E3">
        <w:rPr>
          <w:noProof/>
        </w:rPr>
        <w:t>133</w:t>
      </w:r>
      <w:r w:rsidRPr="00B23DEB">
        <w:fldChar w:fldCharType="end"/>
      </w:r>
      <w:r w:rsidR="00642C37" w:rsidRPr="00B23DEB">
        <w:t>.  </w:t>
      </w:r>
      <w:r w:rsidR="005158D3" w:rsidRPr="00B23DEB">
        <w:t xml:space="preserve">The </w:t>
      </w:r>
      <w:r w:rsidR="00642C37" w:rsidRPr="00B23DEB">
        <w:t>applicant</w:t>
      </w:r>
      <w:r w:rsidR="005158D3" w:rsidRPr="00B23DEB">
        <w:t>s</w:t>
      </w:r>
      <w:r w:rsidR="00642C37" w:rsidRPr="00B23DEB">
        <w:t xml:space="preserve"> claimed </w:t>
      </w:r>
      <w:r w:rsidR="00940990" w:rsidRPr="00B23DEB">
        <w:t xml:space="preserve">50,000 </w:t>
      </w:r>
      <w:r w:rsidR="00642C37" w:rsidRPr="00B23DEB">
        <w:t xml:space="preserve">euros (EUR) </w:t>
      </w:r>
      <w:r w:rsidR="0071129F" w:rsidRPr="00B23DEB">
        <w:t xml:space="preserve">each </w:t>
      </w:r>
      <w:r w:rsidR="009E7B7C" w:rsidRPr="00B23DEB">
        <w:t>in respect of non</w:t>
      </w:r>
      <w:r w:rsidR="009E7B7C" w:rsidRPr="00B23DEB">
        <w:noBreakHyphen/>
      </w:r>
      <w:r w:rsidR="00642C37" w:rsidRPr="00B23DEB">
        <w:t>pecuniary damage.</w:t>
      </w:r>
    </w:p>
    <w:p w:rsidR="00181422" w:rsidRPr="00B23DEB" w:rsidRDefault="00C61C0F" w:rsidP="00B23DEB">
      <w:pPr>
        <w:pStyle w:val="ECHRPara"/>
      </w:pPr>
      <w:r w:rsidRPr="00B23DEB">
        <w:fldChar w:fldCharType="begin"/>
      </w:r>
      <w:r w:rsidRPr="00B23DEB">
        <w:instrText xml:space="preserve"> SEQ level0 \*arabic </w:instrText>
      </w:r>
      <w:r w:rsidRPr="00B23DEB">
        <w:fldChar w:fldCharType="separate"/>
      </w:r>
      <w:r w:rsidR="006549E3">
        <w:rPr>
          <w:noProof/>
        </w:rPr>
        <w:t>134</w:t>
      </w:r>
      <w:r w:rsidRPr="00B23DEB">
        <w:fldChar w:fldCharType="end"/>
      </w:r>
      <w:r w:rsidRPr="00B23DEB">
        <w:t>.  </w:t>
      </w:r>
      <w:r w:rsidR="005158D3" w:rsidRPr="00B23DEB">
        <w:t xml:space="preserve">The applicants </w:t>
      </w:r>
      <w:r w:rsidR="00E7634B" w:rsidRPr="00B23DEB">
        <w:t xml:space="preserve">submitted that they </w:t>
      </w:r>
      <w:r w:rsidR="005158D3" w:rsidRPr="00B23DEB">
        <w:t xml:space="preserve">had </w:t>
      </w:r>
      <w:r w:rsidR="00EF64B5" w:rsidRPr="00B23DEB">
        <w:t xml:space="preserve">been deeply traumatised after the loss of </w:t>
      </w:r>
      <w:r w:rsidR="005158D3" w:rsidRPr="00B23DEB">
        <w:t xml:space="preserve">their husbands in the crash. </w:t>
      </w:r>
      <w:r w:rsidR="003C12A9" w:rsidRPr="00B23DEB">
        <w:t xml:space="preserve">They </w:t>
      </w:r>
      <w:r w:rsidR="00E7634B" w:rsidRPr="00B23DEB">
        <w:t xml:space="preserve">had </w:t>
      </w:r>
      <w:r w:rsidR="00EF64B5" w:rsidRPr="00B23DEB">
        <w:t xml:space="preserve">experienced problems with </w:t>
      </w:r>
      <w:r w:rsidR="0071129F" w:rsidRPr="00B23DEB">
        <w:t xml:space="preserve">going about </w:t>
      </w:r>
      <w:r w:rsidR="00972221" w:rsidRPr="00B23DEB">
        <w:t xml:space="preserve">their </w:t>
      </w:r>
      <w:r w:rsidR="003C12A9" w:rsidRPr="00B23DEB">
        <w:t xml:space="preserve">daily </w:t>
      </w:r>
      <w:r w:rsidR="00EF64B5" w:rsidRPr="00B23DEB">
        <w:t>life</w:t>
      </w:r>
      <w:r w:rsidR="00972221" w:rsidRPr="00B23DEB">
        <w:t xml:space="preserve"> and </w:t>
      </w:r>
      <w:r w:rsidR="00E7634B" w:rsidRPr="00B23DEB">
        <w:t xml:space="preserve">had been </w:t>
      </w:r>
      <w:r w:rsidR="00972221" w:rsidRPr="00B23DEB">
        <w:t xml:space="preserve">treated for </w:t>
      </w:r>
      <w:r w:rsidR="00EF64B5" w:rsidRPr="00B23DEB">
        <w:t xml:space="preserve">depression. </w:t>
      </w:r>
      <w:r w:rsidR="00E7634B" w:rsidRPr="00B23DEB">
        <w:t xml:space="preserve">Just as </w:t>
      </w:r>
      <w:r w:rsidR="00972221" w:rsidRPr="00B23DEB">
        <w:t>the</w:t>
      </w:r>
      <w:r w:rsidR="00E7634B" w:rsidRPr="00B23DEB">
        <w:t>y</w:t>
      </w:r>
      <w:r w:rsidR="00972221" w:rsidRPr="00B23DEB">
        <w:t xml:space="preserve"> </w:t>
      </w:r>
      <w:r w:rsidR="0071129F" w:rsidRPr="00B23DEB">
        <w:t xml:space="preserve">had been </w:t>
      </w:r>
      <w:r w:rsidR="00E7634B" w:rsidRPr="00B23DEB">
        <w:t xml:space="preserve">beginning </w:t>
      </w:r>
      <w:r w:rsidR="00EF64B5" w:rsidRPr="00B23DEB">
        <w:t xml:space="preserve">to recover, </w:t>
      </w:r>
      <w:r w:rsidR="00972221" w:rsidRPr="00B23DEB">
        <w:t xml:space="preserve">the </w:t>
      </w:r>
      <w:r w:rsidR="00006934" w:rsidRPr="00B23DEB">
        <w:t>prosecutor</w:t>
      </w:r>
      <w:r w:rsidR="00972221" w:rsidRPr="00B23DEB">
        <w:t xml:space="preserve"> </w:t>
      </w:r>
      <w:r w:rsidR="00E7634B" w:rsidRPr="00B23DEB">
        <w:t xml:space="preserve">had </w:t>
      </w:r>
      <w:r w:rsidR="00972221" w:rsidRPr="00B23DEB">
        <w:t xml:space="preserve">decided to order </w:t>
      </w:r>
      <w:r w:rsidR="00E7634B" w:rsidRPr="00B23DEB">
        <w:t xml:space="preserve">the </w:t>
      </w:r>
      <w:r w:rsidR="00006934" w:rsidRPr="00B23DEB">
        <w:t xml:space="preserve">exhumation of </w:t>
      </w:r>
      <w:r w:rsidR="00E7634B" w:rsidRPr="00B23DEB">
        <w:t xml:space="preserve">their </w:t>
      </w:r>
      <w:r w:rsidR="00006934" w:rsidRPr="00B23DEB">
        <w:t>husbands</w:t>
      </w:r>
      <w:r w:rsidR="00B23DEB" w:rsidRPr="00B23DEB">
        <w:t>’</w:t>
      </w:r>
      <w:r w:rsidR="00006934" w:rsidRPr="00B23DEB">
        <w:t xml:space="preserve"> remains. Th</w:t>
      </w:r>
      <w:r w:rsidR="00E7634B" w:rsidRPr="00B23DEB">
        <w:t>at</w:t>
      </w:r>
      <w:r w:rsidR="00006934" w:rsidRPr="00B23DEB">
        <w:t xml:space="preserve"> deci</w:t>
      </w:r>
      <w:r w:rsidR="00B36269" w:rsidRPr="00B23DEB">
        <w:t xml:space="preserve">sion </w:t>
      </w:r>
      <w:r w:rsidR="00E7634B" w:rsidRPr="00B23DEB">
        <w:t xml:space="preserve">had </w:t>
      </w:r>
      <w:r w:rsidR="00975EAA" w:rsidRPr="00B23DEB">
        <w:t xml:space="preserve">plunged them back into the trauma and </w:t>
      </w:r>
      <w:r w:rsidR="00E7634B" w:rsidRPr="00B23DEB">
        <w:t xml:space="preserve">the </w:t>
      </w:r>
      <w:r w:rsidR="00975EAA" w:rsidRPr="00B23DEB">
        <w:t xml:space="preserve">related psychological problems. </w:t>
      </w:r>
      <w:r w:rsidR="009E7B7C" w:rsidRPr="00B23DEB">
        <w:t>The </w:t>
      </w:r>
      <w:r w:rsidRPr="00B23DEB">
        <w:t xml:space="preserve">psychological harm </w:t>
      </w:r>
      <w:r w:rsidR="00D06F99" w:rsidRPr="00B23DEB">
        <w:t xml:space="preserve">they had </w:t>
      </w:r>
      <w:r w:rsidRPr="00B23DEB">
        <w:t xml:space="preserve">suffered </w:t>
      </w:r>
      <w:r w:rsidR="00E7634B" w:rsidRPr="00B23DEB">
        <w:t xml:space="preserve">had been </w:t>
      </w:r>
      <w:r w:rsidRPr="00B23DEB">
        <w:t>exacerbated by the fact that the aut</w:t>
      </w:r>
      <w:r w:rsidR="00B36269" w:rsidRPr="00B23DEB">
        <w:t xml:space="preserve">horities had completely ignored </w:t>
      </w:r>
      <w:r w:rsidRPr="00B23DEB">
        <w:t xml:space="preserve">their </w:t>
      </w:r>
      <w:r w:rsidR="00B36269" w:rsidRPr="00B23DEB">
        <w:t xml:space="preserve">feelings </w:t>
      </w:r>
      <w:r w:rsidRPr="00B23DEB">
        <w:t xml:space="preserve">and objections, showing </w:t>
      </w:r>
      <w:r w:rsidR="00B36269" w:rsidRPr="00B23DEB">
        <w:t xml:space="preserve">blatant </w:t>
      </w:r>
      <w:r w:rsidR="00E7634B" w:rsidRPr="00B23DEB">
        <w:t xml:space="preserve">disregard </w:t>
      </w:r>
      <w:r w:rsidR="00B36269" w:rsidRPr="00B23DEB">
        <w:t xml:space="preserve">for </w:t>
      </w:r>
      <w:r w:rsidRPr="00B23DEB">
        <w:t xml:space="preserve">them </w:t>
      </w:r>
      <w:r w:rsidR="00B36269" w:rsidRPr="00B23DEB">
        <w:t xml:space="preserve">and </w:t>
      </w:r>
      <w:r w:rsidRPr="00B23DEB">
        <w:t xml:space="preserve">their </w:t>
      </w:r>
      <w:r w:rsidR="00B36269" w:rsidRPr="00B23DEB">
        <w:t>late husband</w:t>
      </w:r>
      <w:r w:rsidRPr="00B23DEB">
        <w:t>s</w:t>
      </w:r>
      <w:r w:rsidR="00B36269" w:rsidRPr="00B23DEB">
        <w:t xml:space="preserve">. </w:t>
      </w:r>
      <w:r w:rsidRPr="00B23DEB">
        <w:t xml:space="preserve">The applicants </w:t>
      </w:r>
      <w:r w:rsidR="00E7634B" w:rsidRPr="00B23DEB">
        <w:t xml:space="preserve">had been </w:t>
      </w:r>
      <w:r w:rsidRPr="00B23DEB">
        <w:t xml:space="preserve">further </w:t>
      </w:r>
      <w:r w:rsidR="00B36269" w:rsidRPr="00B23DEB">
        <w:t xml:space="preserve">tormented by the detailed information of the results of each </w:t>
      </w:r>
      <w:r w:rsidR="00E7634B" w:rsidRPr="00B23DEB">
        <w:t xml:space="preserve">autopsy </w:t>
      </w:r>
      <w:r w:rsidR="00B36269" w:rsidRPr="00B23DEB">
        <w:t xml:space="preserve">sent to </w:t>
      </w:r>
      <w:r w:rsidRPr="00B23DEB">
        <w:t xml:space="preserve">them </w:t>
      </w:r>
      <w:r w:rsidR="00B36269" w:rsidRPr="00B23DEB">
        <w:t>by the prosecutor.</w:t>
      </w:r>
    </w:p>
    <w:p w:rsidR="00181422" w:rsidRPr="00B23DEB" w:rsidRDefault="00C61C0F" w:rsidP="00B23DEB">
      <w:pPr>
        <w:pStyle w:val="ECHRPara"/>
      </w:pPr>
      <w:r w:rsidRPr="00B23DEB">
        <w:fldChar w:fldCharType="begin"/>
      </w:r>
      <w:r w:rsidRPr="00B23DEB">
        <w:instrText xml:space="preserve"> SEQ level0 \*arabic </w:instrText>
      </w:r>
      <w:r w:rsidRPr="00B23DEB">
        <w:fldChar w:fldCharType="separate"/>
      </w:r>
      <w:r w:rsidR="006549E3">
        <w:rPr>
          <w:noProof/>
        </w:rPr>
        <w:t>135</w:t>
      </w:r>
      <w:r w:rsidRPr="00B23DEB">
        <w:fldChar w:fldCharType="end"/>
      </w:r>
      <w:r w:rsidRPr="00B23DEB">
        <w:t xml:space="preserve">.  The first applicant </w:t>
      </w:r>
      <w:r w:rsidR="00824B38" w:rsidRPr="00B23DEB">
        <w:t xml:space="preserve">also </w:t>
      </w:r>
      <w:r w:rsidRPr="00B23DEB">
        <w:t>referred to the uncertainty as to the date for the exhumation of her husband</w:t>
      </w:r>
      <w:r w:rsidR="00B23DEB" w:rsidRPr="00B23DEB">
        <w:t>’</w:t>
      </w:r>
      <w:r w:rsidRPr="00B23DEB">
        <w:t xml:space="preserve">s remains. She felt that the authorities had ignored her tragedy and treated her as an object in order to achieve </w:t>
      </w:r>
      <w:r w:rsidR="00E7634B" w:rsidRPr="00B23DEB">
        <w:t xml:space="preserve">their </w:t>
      </w:r>
      <w:r w:rsidRPr="00B23DEB">
        <w:t>political aims.</w:t>
      </w:r>
      <w:r w:rsidR="00824B38" w:rsidRPr="00B23DEB">
        <w:t xml:space="preserve"> </w:t>
      </w:r>
      <w:r w:rsidRPr="00B23DEB">
        <w:t xml:space="preserve">The second applicant </w:t>
      </w:r>
      <w:r w:rsidR="00E7634B" w:rsidRPr="00B23DEB">
        <w:t xml:space="preserve">emphasised </w:t>
      </w:r>
      <w:r w:rsidR="00824B38" w:rsidRPr="00B23DEB">
        <w:t xml:space="preserve">the </w:t>
      </w:r>
      <w:r w:rsidRPr="00B23DEB">
        <w:t>arbitrariness of the prosecutor</w:t>
      </w:r>
      <w:r w:rsidR="00B23DEB" w:rsidRPr="00B23DEB">
        <w:t>’</w:t>
      </w:r>
      <w:r w:rsidRPr="00B23DEB">
        <w:t>s decision</w:t>
      </w:r>
      <w:r w:rsidR="00824B38" w:rsidRPr="00B23DEB">
        <w:t xml:space="preserve">. The prosecutor </w:t>
      </w:r>
      <w:r w:rsidR="00E7634B" w:rsidRPr="00B23DEB">
        <w:t xml:space="preserve">had </w:t>
      </w:r>
      <w:r w:rsidR="00824B38" w:rsidRPr="00B23DEB">
        <w:t>ignored her argument that she had been present during the identification of her late husband.</w:t>
      </w:r>
    </w:p>
    <w:p w:rsidR="00181422" w:rsidRPr="00B23DEB" w:rsidRDefault="00824B38" w:rsidP="00B23DEB">
      <w:pPr>
        <w:pStyle w:val="ECHRPara"/>
      </w:pPr>
      <w:r w:rsidRPr="00B23DEB">
        <w:fldChar w:fldCharType="begin"/>
      </w:r>
      <w:r w:rsidRPr="00B23DEB">
        <w:instrText xml:space="preserve"> SEQ level0 \*arabic </w:instrText>
      </w:r>
      <w:r w:rsidRPr="00B23DEB">
        <w:fldChar w:fldCharType="separate"/>
      </w:r>
      <w:r w:rsidR="006549E3">
        <w:rPr>
          <w:noProof/>
        </w:rPr>
        <w:t>136</w:t>
      </w:r>
      <w:r w:rsidRPr="00B23DEB">
        <w:fldChar w:fldCharType="end"/>
      </w:r>
      <w:r w:rsidRPr="00B23DEB">
        <w:t>.  The Government invited the Court to reject the applicants</w:t>
      </w:r>
      <w:r w:rsidR="00B23DEB" w:rsidRPr="00B23DEB">
        <w:t>’</w:t>
      </w:r>
      <w:r w:rsidRPr="00B23DEB">
        <w:t xml:space="preserve"> claims for non-pecuniary damage</w:t>
      </w:r>
      <w:r w:rsidR="00E7634B" w:rsidRPr="00B23DEB">
        <w:t>,</w:t>
      </w:r>
      <w:r w:rsidRPr="00B23DEB">
        <w:t xml:space="preserve"> since there had been no violation of the Convention in the instant case. In the alternative, they submitted that the sums claimed </w:t>
      </w:r>
      <w:r w:rsidR="00E7634B" w:rsidRPr="00B23DEB">
        <w:t xml:space="preserve">were </w:t>
      </w:r>
      <w:r w:rsidRPr="00B23DEB">
        <w:t>grossly exorbitant in the light of the circumstances of the case and the Court</w:t>
      </w:r>
      <w:r w:rsidR="00B23DEB" w:rsidRPr="00B23DEB">
        <w:t>’</w:t>
      </w:r>
      <w:r w:rsidRPr="00B23DEB">
        <w:t>s awards made in similar cases.</w:t>
      </w:r>
    </w:p>
    <w:p w:rsidR="00181422" w:rsidRPr="00B23DEB" w:rsidRDefault="00E941D8" w:rsidP="00B23DEB">
      <w:pPr>
        <w:pStyle w:val="ECHRPara"/>
      </w:pPr>
      <w:r w:rsidRPr="00B23DEB">
        <w:fldChar w:fldCharType="begin"/>
      </w:r>
      <w:r w:rsidRPr="00B23DEB">
        <w:instrText xml:space="preserve"> SEQ level0 \*arabic </w:instrText>
      </w:r>
      <w:r w:rsidRPr="00B23DEB">
        <w:fldChar w:fldCharType="separate"/>
      </w:r>
      <w:r w:rsidR="006549E3">
        <w:rPr>
          <w:noProof/>
        </w:rPr>
        <w:t>137</w:t>
      </w:r>
      <w:r w:rsidRPr="00B23DEB">
        <w:fldChar w:fldCharType="end"/>
      </w:r>
      <w:r w:rsidR="00642C37" w:rsidRPr="00B23DEB">
        <w:t>.  </w:t>
      </w:r>
      <w:r w:rsidR="001B1967" w:rsidRPr="00B23DEB">
        <w:t xml:space="preserve">The Court </w:t>
      </w:r>
      <w:r w:rsidR="000A43BC" w:rsidRPr="00B23DEB">
        <w:t xml:space="preserve">has found a violation of Article 8 in that the domestic law did not provide sufficient safeguards against arbitrariness with regard to </w:t>
      </w:r>
      <w:r w:rsidR="00133CA9" w:rsidRPr="00B23DEB">
        <w:t>the prosecutor</w:t>
      </w:r>
      <w:r w:rsidR="00B23DEB" w:rsidRPr="00B23DEB">
        <w:t>’</w:t>
      </w:r>
      <w:r w:rsidR="00133CA9" w:rsidRPr="00B23DEB">
        <w:t xml:space="preserve">s </w:t>
      </w:r>
      <w:r w:rsidR="000A43BC" w:rsidRPr="00B23DEB">
        <w:t xml:space="preserve">decision ordering exhumation. </w:t>
      </w:r>
      <w:r w:rsidR="00E7634B" w:rsidRPr="00B23DEB">
        <w:t xml:space="preserve">It </w:t>
      </w:r>
      <w:r w:rsidR="000A43BC" w:rsidRPr="00B23DEB">
        <w:t>consider</w:t>
      </w:r>
      <w:r w:rsidR="00812182" w:rsidRPr="00B23DEB">
        <w:t>s</w:t>
      </w:r>
      <w:r w:rsidR="000A43BC" w:rsidRPr="00B23DEB">
        <w:t xml:space="preserve"> that the applicants have endured mental suffering </w:t>
      </w:r>
      <w:r w:rsidR="00812182" w:rsidRPr="00B23DEB">
        <w:t>as a result of th</w:t>
      </w:r>
      <w:r w:rsidR="00133CA9" w:rsidRPr="00B23DEB">
        <w:t xml:space="preserve">at </w:t>
      </w:r>
      <w:r w:rsidR="00812182" w:rsidRPr="00B23DEB">
        <w:t>decision</w:t>
      </w:r>
      <w:r w:rsidR="00E7634B" w:rsidRPr="00B23DEB">
        <w:t>,</w:t>
      </w:r>
      <w:r w:rsidR="00812182" w:rsidRPr="00B23DEB">
        <w:t xml:space="preserve"> </w:t>
      </w:r>
      <w:r w:rsidR="00236DA1" w:rsidRPr="00B23DEB">
        <w:t xml:space="preserve">as well as </w:t>
      </w:r>
      <w:r w:rsidR="00133CA9" w:rsidRPr="00B23DEB">
        <w:t>feelings</w:t>
      </w:r>
      <w:r w:rsidR="00236DA1" w:rsidRPr="00B23DEB">
        <w:t xml:space="preserve"> of </w:t>
      </w:r>
      <w:r w:rsidR="00133CA9" w:rsidRPr="00B23DEB">
        <w:t>frustration</w:t>
      </w:r>
      <w:r w:rsidR="00236DA1" w:rsidRPr="00B23DEB">
        <w:t xml:space="preserve"> in trying to defend their </w:t>
      </w:r>
      <w:r w:rsidR="00133CA9" w:rsidRPr="00B23DEB">
        <w:t xml:space="preserve">Article 8 rights. </w:t>
      </w:r>
      <w:r w:rsidR="00812182" w:rsidRPr="00B23DEB">
        <w:t xml:space="preserve">Ruling on an equitable basis, it awards each applicant </w:t>
      </w:r>
      <w:r w:rsidR="00E7634B" w:rsidRPr="00B23DEB">
        <w:t xml:space="preserve">EUR </w:t>
      </w:r>
      <w:r w:rsidR="00812182" w:rsidRPr="00B23DEB">
        <w:t>16,000.</w:t>
      </w:r>
    </w:p>
    <w:p w:rsidR="00C64785" w:rsidRPr="00B23DEB" w:rsidRDefault="00642C37" w:rsidP="00B23DEB">
      <w:pPr>
        <w:pStyle w:val="ECHRHeading2"/>
      </w:pPr>
      <w:r w:rsidRPr="00B23DEB">
        <w:t>B.  Costs and expenses</w:t>
      </w:r>
    </w:p>
    <w:p w:rsidR="00181422" w:rsidRPr="00B23DEB" w:rsidRDefault="00303EF5" w:rsidP="00B23DEB">
      <w:pPr>
        <w:pStyle w:val="ECHRPara"/>
      </w:pPr>
      <w:r w:rsidRPr="00B23DEB">
        <w:fldChar w:fldCharType="begin"/>
      </w:r>
      <w:r w:rsidRPr="00B23DEB">
        <w:instrText xml:space="preserve"> SEQ level0 \*arabic </w:instrText>
      </w:r>
      <w:r w:rsidRPr="00B23DEB">
        <w:fldChar w:fldCharType="separate"/>
      </w:r>
      <w:r w:rsidR="006549E3">
        <w:rPr>
          <w:noProof/>
        </w:rPr>
        <w:t>138</w:t>
      </w:r>
      <w:r w:rsidRPr="00B23DEB">
        <w:fldChar w:fldCharType="end"/>
      </w:r>
      <w:r w:rsidRPr="00B23DEB">
        <w:t>.  </w:t>
      </w:r>
      <w:r w:rsidR="00642C37" w:rsidRPr="00B23DEB">
        <w:t>The applicant</w:t>
      </w:r>
      <w:r w:rsidR="00E941D8" w:rsidRPr="00B23DEB">
        <w:t>s</w:t>
      </w:r>
      <w:r w:rsidR="00642C37" w:rsidRPr="00B23DEB">
        <w:t xml:space="preserve"> also claimed EUR </w:t>
      </w:r>
      <w:r w:rsidR="00133CA9" w:rsidRPr="00B23DEB">
        <w:t xml:space="preserve">960 </w:t>
      </w:r>
      <w:r w:rsidR="00642C37" w:rsidRPr="00B23DEB">
        <w:t xml:space="preserve">for the costs </w:t>
      </w:r>
      <w:r w:rsidRPr="00B23DEB">
        <w:t xml:space="preserve">of legal representation in the proceedings </w:t>
      </w:r>
      <w:r w:rsidR="00642C37" w:rsidRPr="00B23DEB">
        <w:t>before the Court.</w:t>
      </w:r>
      <w:r w:rsidRPr="00B23DEB">
        <w:t xml:space="preserve"> This sum was to be allocated to the Helsinki Foundation for Human Rights as reimbursement for the work of its employee, Mr P. K</w:t>
      </w:r>
      <w:r w:rsidRPr="00B23DEB">
        <w:rPr>
          <w:rFonts w:cstheme="minorHAnsi"/>
        </w:rPr>
        <w:t>ł</w:t>
      </w:r>
      <w:r w:rsidRPr="00B23DEB">
        <w:t xml:space="preserve">adoczny, who </w:t>
      </w:r>
      <w:r w:rsidR="00E7634B" w:rsidRPr="00B23DEB">
        <w:t xml:space="preserve">had </w:t>
      </w:r>
      <w:r w:rsidRPr="00B23DEB">
        <w:t xml:space="preserve">represented the applicants on </w:t>
      </w:r>
      <w:r w:rsidR="00E7634B" w:rsidRPr="00B23DEB">
        <w:t xml:space="preserve">a </w:t>
      </w:r>
      <w:r w:rsidRPr="00B23DEB">
        <w:rPr>
          <w:i/>
        </w:rPr>
        <w:t>pro bono</w:t>
      </w:r>
      <w:r w:rsidRPr="00B23DEB">
        <w:t xml:space="preserve"> basis.</w:t>
      </w:r>
    </w:p>
    <w:p w:rsidR="00181422" w:rsidRPr="00B23DEB" w:rsidRDefault="00E941D8" w:rsidP="00B23DEB">
      <w:pPr>
        <w:pStyle w:val="ECHRPara"/>
      </w:pPr>
      <w:r w:rsidRPr="00B23DEB">
        <w:fldChar w:fldCharType="begin"/>
      </w:r>
      <w:r w:rsidRPr="00B23DEB">
        <w:instrText xml:space="preserve"> SEQ level0 \*arabic </w:instrText>
      </w:r>
      <w:r w:rsidRPr="00B23DEB">
        <w:fldChar w:fldCharType="separate"/>
      </w:r>
      <w:r w:rsidR="006549E3">
        <w:rPr>
          <w:noProof/>
        </w:rPr>
        <w:t>139</w:t>
      </w:r>
      <w:r w:rsidRPr="00B23DEB">
        <w:fldChar w:fldCharType="end"/>
      </w:r>
      <w:r w:rsidR="00303EF5" w:rsidRPr="00B23DEB">
        <w:t xml:space="preserve">.  The Government submitted that this claim should be rejected. They noted that the applicants had not incurred any costs for their legal representation because it had been offered to them on </w:t>
      </w:r>
      <w:r w:rsidR="00E7634B" w:rsidRPr="00B23DEB">
        <w:t xml:space="preserve">a </w:t>
      </w:r>
      <w:r w:rsidR="00303EF5" w:rsidRPr="00B23DEB">
        <w:rPr>
          <w:i/>
        </w:rPr>
        <w:t>pro bono</w:t>
      </w:r>
      <w:r w:rsidR="00303EF5" w:rsidRPr="00B23DEB">
        <w:t xml:space="preserve"> basis.</w:t>
      </w:r>
    </w:p>
    <w:p w:rsidR="00181422" w:rsidRPr="00B23DEB" w:rsidRDefault="003D2345" w:rsidP="00B23DEB">
      <w:pPr>
        <w:pStyle w:val="ECHRPara"/>
      </w:pPr>
      <w:r w:rsidRPr="00B23DEB">
        <w:fldChar w:fldCharType="begin"/>
      </w:r>
      <w:r w:rsidRPr="00B23DEB">
        <w:instrText xml:space="preserve"> SEQ level0 \*arabic </w:instrText>
      </w:r>
      <w:r w:rsidRPr="00B23DEB">
        <w:fldChar w:fldCharType="separate"/>
      </w:r>
      <w:r w:rsidR="006549E3">
        <w:rPr>
          <w:noProof/>
        </w:rPr>
        <w:t>140</w:t>
      </w:r>
      <w:r w:rsidRPr="00B23DEB">
        <w:fldChar w:fldCharType="end"/>
      </w:r>
      <w:r w:rsidRPr="00B23DEB">
        <w:t xml:space="preserve">.  It has not been shown that the costs claimed </w:t>
      </w:r>
      <w:r w:rsidR="00E7634B" w:rsidRPr="00B23DEB">
        <w:t xml:space="preserve">were </w:t>
      </w:r>
      <w:r w:rsidRPr="00B23DEB">
        <w:t>actually incurred. Accordingly, the Court rejects the claim for costs and expenses.</w:t>
      </w:r>
    </w:p>
    <w:p w:rsidR="00C64785" w:rsidRPr="00B23DEB" w:rsidRDefault="00642C37" w:rsidP="00B23DEB">
      <w:pPr>
        <w:pStyle w:val="ECHRHeading2"/>
      </w:pPr>
      <w:r w:rsidRPr="00B23DEB">
        <w:t>C.  Default interest</w:t>
      </w:r>
    </w:p>
    <w:p w:rsidR="00C64785" w:rsidRPr="00B23DEB" w:rsidRDefault="00E941D8" w:rsidP="00B23DEB">
      <w:pPr>
        <w:pStyle w:val="ECHRPara"/>
      </w:pPr>
      <w:r w:rsidRPr="00B23DEB">
        <w:fldChar w:fldCharType="begin"/>
      </w:r>
      <w:r w:rsidRPr="00B23DEB">
        <w:instrText xml:space="preserve"> SEQ level0 \*arabic </w:instrText>
      </w:r>
      <w:r w:rsidRPr="00B23DEB">
        <w:fldChar w:fldCharType="separate"/>
      </w:r>
      <w:r w:rsidR="006549E3">
        <w:rPr>
          <w:noProof/>
        </w:rPr>
        <w:t>141</w:t>
      </w:r>
      <w:r w:rsidRPr="00B23DEB">
        <w:fldChar w:fldCharType="end"/>
      </w:r>
      <w:r w:rsidR="00642C37" w:rsidRPr="00B23DEB">
        <w:t>.  The Court considers it appropriate that the default interest rate should be based on the marginal lending rate of the European Central Bank, to which should be added three percentage points.</w:t>
      </w:r>
    </w:p>
    <w:p w:rsidR="00C64785" w:rsidRPr="00B23DEB" w:rsidRDefault="00642C37" w:rsidP="00B23DEB">
      <w:pPr>
        <w:pStyle w:val="ECHRTitle1"/>
      </w:pPr>
      <w:r w:rsidRPr="00B23DEB">
        <w:t>FOR THESE REASONS, THE COURT</w:t>
      </w:r>
      <w:r w:rsidR="00181422" w:rsidRPr="00B23DEB">
        <w:t>, UNANIMOUSLY,</w:t>
      </w:r>
    </w:p>
    <w:p w:rsidR="00181422" w:rsidRPr="00B23DEB" w:rsidRDefault="007B3849" w:rsidP="00B23DEB">
      <w:pPr>
        <w:pStyle w:val="JuList"/>
      </w:pPr>
      <w:r w:rsidRPr="00B23DEB">
        <w:t>1.  </w:t>
      </w:r>
      <w:r w:rsidR="002E505C" w:rsidRPr="00B23DEB">
        <w:rPr>
          <w:i/>
        </w:rPr>
        <w:t>Joins</w:t>
      </w:r>
      <w:r w:rsidR="002E505C" w:rsidRPr="00B23DEB">
        <w:t xml:space="preserve"> the applications;</w:t>
      </w:r>
    </w:p>
    <w:p w:rsidR="00AA0130" w:rsidRPr="00B23DEB" w:rsidRDefault="00AA0130" w:rsidP="00B23DEB">
      <w:pPr>
        <w:pStyle w:val="JuList"/>
      </w:pPr>
    </w:p>
    <w:p w:rsidR="00C64785" w:rsidRPr="00B23DEB" w:rsidRDefault="00895E87" w:rsidP="00B23DEB">
      <w:pPr>
        <w:pStyle w:val="JuList"/>
      </w:pPr>
      <w:r w:rsidRPr="00B23DEB">
        <w:t>2</w:t>
      </w:r>
      <w:r w:rsidR="00642C37" w:rsidRPr="00B23DEB">
        <w:t>.  </w:t>
      </w:r>
      <w:r w:rsidR="00642C37" w:rsidRPr="00B23DEB">
        <w:rPr>
          <w:i/>
        </w:rPr>
        <w:t>Declares</w:t>
      </w:r>
      <w:r w:rsidR="00E941D8" w:rsidRPr="00B23DEB">
        <w:t xml:space="preserve"> </w:t>
      </w:r>
      <w:r w:rsidR="00642C37" w:rsidRPr="00B23DEB">
        <w:t xml:space="preserve">the </w:t>
      </w:r>
      <w:r w:rsidR="00E941D8" w:rsidRPr="00B23DEB">
        <w:t>applications</w:t>
      </w:r>
      <w:r w:rsidR="00642C37" w:rsidRPr="00B23DEB">
        <w:t xml:space="preserve"> admissible;</w:t>
      </w:r>
    </w:p>
    <w:p w:rsidR="0038389B" w:rsidRPr="00B23DEB" w:rsidRDefault="0038389B" w:rsidP="00B23DEB">
      <w:pPr>
        <w:pStyle w:val="JuList"/>
      </w:pPr>
    </w:p>
    <w:p w:rsidR="00C64785" w:rsidRPr="00B23DEB" w:rsidRDefault="00895E87" w:rsidP="00B23DEB">
      <w:pPr>
        <w:pStyle w:val="JuList"/>
      </w:pPr>
      <w:r w:rsidRPr="00B23DEB">
        <w:t>3</w:t>
      </w:r>
      <w:r w:rsidR="00642C37" w:rsidRPr="00B23DEB">
        <w:t>.  </w:t>
      </w:r>
      <w:r w:rsidR="00642C37" w:rsidRPr="00B23DEB">
        <w:rPr>
          <w:i/>
        </w:rPr>
        <w:t>Holds</w:t>
      </w:r>
      <w:r w:rsidR="00E941D8" w:rsidRPr="00B23DEB">
        <w:t xml:space="preserve"> </w:t>
      </w:r>
      <w:r w:rsidR="00642C37" w:rsidRPr="00B23DEB">
        <w:t xml:space="preserve">that there has been a violation of Article </w:t>
      </w:r>
      <w:r w:rsidR="0038389B" w:rsidRPr="00B23DEB">
        <w:t xml:space="preserve">8 </w:t>
      </w:r>
      <w:r w:rsidR="00642C37" w:rsidRPr="00B23DEB">
        <w:t>of the Convention;</w:t>
      </w:r>
    </w:p>
    <w:p w:rsidR="00C64785" w:rsidRPr="00B23DEB" w:rsidRDefault="00C64785" w:rsidP="00B23DEB">
      <w:pPr>
        <w:pStyle w:val="JuList"/>
      </w:pPr>
    </w:p>
    <w:p w:rsidR="00C64785" w:rsidRPr="00B23DEB" w:rsidRDefault="0038389B" w:rsidP="00B23DEB">
      <w:pPr>
        <w:pStyle w:val="JuList"/>
      </w:pPr>
      <w:r w:rsidRPr="00B23DEB">
        <w:t>4</w:t>
      </w:r>
      <w:r w:rsidR="00642C37" w:rsidRPr="00B23DEB">
        <w:t>.  </w:t>
      </w:r>
      <w:r w:rsidR="00642C37" w:rsidRPr="00B23DEB">
        <w:rPr>
          <w:i/>
        </w:rPr>
        <w:t>Holds</w:t>
      </w:r>
      <w:r w:rsidR="00E941D8" w:rsidRPr="00B23DEB">
        <w:t xml:space="preserve"> </w:t>
      </w:r>
      <w:r w:rsidR="00642C37" w:rsidRPr="00B23DEB">
        <w:t xml:space="preserve">that there is no need to examine </w:t>
      </w:r>
      <w:r w:rsidRPr="00B23DEB">
        <w:t xml:space="preserve">separately </w:t>
      </w:r>
      <w:r w:rsidR="00642C37" w:rsidRPr="00B23DEB">
        <w:t xml:space="preserve">the complaint under Article </w:t>
      </w:r>
      <w:r w:rsidRPr="00B23DEB">
        <w:t xml:space="preserve">13 </w:t>
      </w:r>
      <w:r w:rsidR="00642C37" w:rsidRPr="00B23DEB">
        <w:t>of the Convention;</w:t>
      </w:r>
    </w:p>
    <w:p w:rsidR="00C64785" w:rsidRPr="00B23DEB" w:rsidRDefault="00C64785" w:rsidP="00B23DEB">
      <w:pPr>
        <w:pStyle w:val="JuList"/>
      </w:pPr>
    </w:p>
    <w:p w:rsidR="00A60113" w:rsidRPr="00B23DEB" w:rsidRDefault="00DE21CD" w:rsidP="00B23DEB">
      <w:pPr>
        <w:pStyle w:val="JuList"/>
      </w:pPr>
      <w:r w:rsidRPr="00B23DEB">
        <w:t>5</w:t>
      </w:r>
      <w:r w:rsidR="00642C37" w:rsidRPr="00B23DEB">
        <w:t>.  </w:t>
      </w:r>
      <w:r w:rsidR="00642C37" w:rsidRPr="00B23DEB">
        <w:rPr>
          <w:i/>
        </w:rPr>
        <w:t>Holds</w:t>
      </w:r>
    </w:p>
    <w:p w:rsidR="00DE21CD" w:rsidRPr="00B23DEB" w:rsidRDefault="00642C37" w:rsidP="00B23DEB">
      <w:pPr>
        <w:pStyle w:val="JuLista"/>
        <w:rPr>
          <w:lang w:val="en-US"/>
        </w:rPr>
      </w:pPr>
      <w:r w:rsidRPr="00B23DEB">
        <w:t xml:space="preserve">(a)  that the respondent State is to pay </w:t>
      </w:r>
      <w:r w:rsidR="00DE21CD" w:rsidRPr="00B23DEB">
        <w:t xml:space="preserve">each </w:t>
      </w:r>
      <w:r w:rsidRPr="00B23DEB">
        <w:t>applicant, within three months</w:t>
      </w:r>
      <w:r w:rsidR="00E941D8" w:rsidRPr="00B23DEB">
        <w:t xml:space="preserve"> from the date on which the judgment becomes final</w:t>
      </w:r>
      <w:r w:rsidR="00E7634B" w:rsidRPr="00B23DEB">
        <w:t>,</w:t>
      </w:r>
      <w:r w:rsidR="00E941D8" w:rsidRPr="00B23DEB">
        <w:t xml:space="preserve"> in accordance with Article 44 § 2 of the Convention,</w:t>
      </w:r>
      <w:r w:rsidRPr="00B23DEB">
        <w:t xml:space="preserve"> </w:t>
      </w:r>
      <w:r w:rsidR="00181422" w:rsidRPr="00B23DEB">
        <w:t>EUR 16,000 (sixteen </w:t>
      </w:r>
      <w:r w:rsidR="00DE21CD" w:rsidRPr="00B23DEB">
        <w:t xml:space="preserve">thousand euros), plus any tax that may be chargeable, in respect of non-pecuniary damage; </w:t>
      </w:r>
      <w:r w:rsidR="00DE21CD" w:rsidRPr="00B23DEB">
        <w:rPr>
          <w:lang w:val="en-US"/>
        </w:rPr>
        <w:t>to be converted into the currency of the respondent State at the rate applicable at the date of settlement;</w:t>
      </w:r>
    </w:p>
    <w:p w:rsidR="00C64785" w:rsidRPr="00B23DEB" w:rsidRDefault="00642C37" w:rsidP="00B23DEB">
      <w:pPr>
        <w:pStyle w:val="JuLista"/>
      </w:pPr>
      <w:r w:rsidRPr="00B23DEB">
        <w:t>(b)  that from the expiry of the above-mentioned three months until settlement</w:t>
      </w:r>
      <w:r w:rsidR="00E7634B" w:rsidRPr="00B23DEB">
        <w:t>,</w:t>
      </w:r>
      <w:r w:rsidRPr="00B23DEB">
        <w:t xml:space="preserve"> simple interest shall be payable on the above amount at a rate equal to the marginal lending rate of the European Central Bank during the default period</w:t>
      </w:r>
      <w:r w:rsidR="00E7634B" w:rsidRPr="00B23DEB">
        <w:t>,</w:t>
      </w:r>
      <w:r w:rsidR="00FB0000" w:rsidRPr="00B23DEB">
        <w:t xml:space="preserve"> plus three percentage points;</w:t>
      </w:r>
    </w:p>
    <w:p w:rsidR="00C64785" w:rsidRPr="00B23DEB" w:rsidRDefault="00C64785" w:rsidP="00B23DEB">
      <w:pPr>
        <w:pStyle w:val="JuList"/>
      </w:pPr>
    </w:p>
    <w:p w:rsidR="00C64785" w:rsidRPr="00B23DEB" w:rsidRDefault="00DE21CD" w:rsidP="00B23DEB">
      <w:pPr>
        <w:pStyle w:val="JuList"/>
      </w:pPr>
      <w:r w:rsidRPr="00B23DEB">
        <w:t>6</w:t>
      </w:r>
      <w:r w:rsidR="00642C37" w:rsidRPr="00B23DEB">
        <w:t>.  </w:t>
      </w:r>
      <w:r w:rsidR="00642C37" w:rsidRPr="00B23DEB">
        <w:rPr>
          <w:i/>
        </w:rPr>
        <w:t>Dismisses</w:t>
      </w:r>
      <w:r w:rsidR="00E941D8" w:rsidRPr="00B23DEB">
        <w:t xml:space="preserve"> </w:t>
      </w:r>
      <w:r w:rsidR="00642C37" w:rsidRPr="00B23DEB">
        <w:t>the remainder of the applicant</w:t>
      </w:r>
      <w:r w:rsidR="00E941D8" w:rsidRPr="00B23DEB">
        <w:t>s</w:t>
      </w:r>
      <w:r w:rsidR="00B23DEB" w:rsidRPr="00B23DEB">
        <w:t>’</w:t>
      </w:r>
      <w:r w:rsidR="00181422" w:rsidRPr="00B23DEB">
        <w:t xml:space="preserve"> claim for just satisfaction.</w:t>
      </w:r>
    </w:p>
    <w:p w:rsidR="00C64785" w:rsidRPr="00B23DEB" w:rsidRDefault="00642C37" w:rsidP="00B23DEB">
      <w:pPr>
        <w:pStyle w:val="JuParaLast"/>
      </w:pPr>
      <w:r w:rsidRPr="00B23DEB">
        <w:t xml:space="preserve">Done in English, and notified in writing on </w:t>
      </w:r>
      <w:r w:rsidR="00181422" w:rsidRPr="00B23DEB">
        <w:t>20 September 2018</w:t>
      </w:r>
      <w:r w:rsidRPr="00B23DEB">
        <w:t>, pursuant to Rule 77 §§ 2 and 3 of the Rules of Court.</w:t>
      </w:r>
    </w:p>
    <w:p w:rsidR="00C64785" w:rsidRPr="00B23DEB" w:rsidRDefault="00642C37" w:rsidP="00B23DEB">
      <w:pPr>
        <w:pStyle w:val="JuSigned"/>
        <w:rPr>
          <w:lang w:val="it-IT"/>
        </w:rPr>
      </w:pPr>
      <w:r w:rsidRPr="00B23DEB">
        <w:tab/>
      </w:r>
      <w:r w:rsidR="00E941D8" w:rsidRPr="00B23DEB">
        <w:rPr>
          <w:lang w:val="it-IT"/>
        </w:rPr>
        <w:t>Abel Campos</w:t>
      </w:r>
      <w:r w:rsidRPr="00B23DEB">
        <w:rPr>
          <w:lang w:val="it-IT"/>
        </w:rPr>
        <w:tab/>
      </w:r>
      <w:r w:rsidR="00E941D8" w:rsidRPr="00B23DEB">
        <w:rPr>
          <w:szCs w:val="24"/>
          <w:lang w:val="it-IT"/>
        </w:rPr>
        <w:t>Linos-Alexandre Sicilianos</w:t>
      </w:r>
      <w:r w:rsidRPr="00B23DEB">
        <w:rPr>
          <w:szCs w:val="24"/>
          <w:lang w:val="it-IT"/>
        </w:rPr>
        <w:br/>
      </w:r>
      <w:r w:rsidRPr="00B23DEB">
        <w:rPr>
          <w:lang w:val="it-IT"/>
        </w:rPr>
        <w:tab/>
      </w:r>
      <w:r w:rsidR="00E941D8" w:rsidRPr="00B23DEB">
        <w:rPr>
          <w:iCs/>
          <w:lang w:val="it-IT"/>
        </w:rPr>
        <w:t>Registrar</w:t>
      </w:r>
      <w:r w:rsidRPr="00B23DEB">
        <w:rPr>
          <w:lang w:val="it-IT"/>
        </w:rPr>
        <w:tab/>
        <w:t>President</w:t>
      </w:r>
    </w:p>
    <w:p w:rsidR="001D0FD5" w:rsidRPr="00B23DEB" w:rsidRDefault="001D0FD5" w:rsidP="00B23DEB">
      <w:pPr>
        <w:pStyle w:val="JuParaLast"/>
      </w:pPr>
      <w:bookmarkStart w:id="1" w:name="OneOpi"/>
      <w:r w:rsidRPr="00B23DEB">
        <w:t>In accordance with Article 45 § 2 of the Convention and Rule 74 § 2 of the Rules of Court, the separate opinion of Judge Eicke is annexed to this judgment.</w:t>
      </w:r>
    </w:p>
    <w:p w:rsidR="001D0FD5" w:rsidRPr="00B23DEB" w:rsidRDefault="001D0FD5" w:rsidP="00B23DEB">
      <w:pPr>
        <w:pStyle w:val="JuInitialled"/>
      </w:pPr>
      <w:r w:rsidRPr="00B23DEB">
        <w:t>L.-A. S.</w:t>
      </w:r>
      <w:r w:rsidRPr="00B23DEB">
        <w:br/>
        <w:t>A. C.</w:t>
      </w:r>
    </w:p>
    <w:bookmarkEnd w:id="1"/>
    <w:p w:rsidR="001D0FD5" w:rsidRPr="00B23DEB" w:rsidRDefault="001D0FD5" w:rsidP="00B23DEB">
      <w:pPr>
        <w:rPr>
          <w:lang w:val="en-US"/>
        </w:rPr>
      </w:pPr>
    </w:p>
    <w:p w:rsidR="001D0FD5" w:rsidRPr="00B23DEB" w:rsidRDefault="001D0FD5" w:rsidP="00B23DEB">
      <w:pPr>
        <w:rPr>
          <w:lang w:val="en-US"/>
        </w:rPr>
        <w:sectPr w:rsidR="001D0FD5" w:rsidRPr="00B23DEB" w:rsidSect="00181422">
          <w:headerReference w:type="even" r:id="rId17"/>
          <w:headerReference w:type="default" r:id="rId18"/>
          <w:footnotePr>
            <w:numRestart w:val="eachSect"/>
          </w:footnotePr>
          <w:pgSz w:w="11906" w:h="16838" w:code="9"/>
          <w:pgMar w:top="2274" w:right="2274" w:bottom="2274" w:left="2274" w:header="1701" w:footer="720" w:gutter="0"/>
          <w:pgNumType w:start="1"/>
          <w:cols w:space="720"/>
          <w:docGrid w:linePitch="326"/>
        </w:sectPr>
      </w:pPr>
    </w:p>
    <w:p w:rsidR="00081BE4" w:rsidRPr="00B23DEB" w:rsidRDefault="00081BE4" w:rsidP="00B23DEB">
      <w:pPr>
        <w:pStyle w:val="ECHRTitleCentre1"/>
        <w:rPr>
          <w:rFonts w:ascii="Times New Roman" w:eastAsia="Times New Roman" w:hAnsi="Times New Roman" w:cs="Times New Roman"/>
        </w:rPr>
      </w:pPr>
      <w:r w:rsidRPr="00B23DEB">
        <w:rPr>
          <w:rFonts w:ascii="Times New Roman" w:eastAsia="Times New Roman" w:hAnsi="Times New Roman" w:cs="Times New Roman"/>
        </w:rPr>
        <w:t>CONCURRING OPINION OF JUDGE EICKE</w:t>
      </w:r>
    </w:p>
    <w:p w:rsidR="00081BE4" w:rsidRPr="00B23DEB" w:rsidRDefault="00081BE4" w:rsidP="00B23DEB">
      <w:pPr>
        <w:pStyle w:val="OpiHA0"/>
        <w:rPr>
          <w:rFonts w:eastAsia="Times New Roman"/>
        </w:rPr>
      </w:pPr>
      <w:r w:rsidRPr="00B23DEB">
        <w:rPr>
          <w:rFonts w:eastAsia="Times New Roman"/>
        </w:rPr>
        <w:t>Introduction</w:t>
      </w:r>
    </w:p>
    <w:p w:rsidR="00081BE4" w:rsidRPr="00B23DEB" w:rsidRDefault="00880C8E" w:rsidP="00B23DEB">
      <w:pPr>
        <w:pStyle w:val="OpiPara"/>
        <w:rPr>
          <w:rFonts w:eastAsia="Times New Roman"/>
        </w:rPr>
      </w:pPr>
      <w:r w:rsidRPr="00B23DEB">
        <w:rPr>
          <w:rFonts w:eastAsia="Times New Roman"/>
        </w:rPr>
        <w:fldChar w:fldCharType="begin"/>
      </w:r>
      <w:r w:rsidRPr="00B23DEB">
        <w:rPr>
          <w:rFonts w:eastAsia="Times New Roman"/>
        </w:rPr>
        <w:instrText xml:space="preserve"> SEQ level0 \*arabic \r1</w:instrText>
      </w:r>
      <w:r w:rsidR="002669E9" w:rsidRPr="00B23DEB">
        <w:rPr>
          <w:rFonts w:eastAsia="Times New Roman"/>
        </w:rPr>
        <w:fldChar w:fldCharType="begin"/>
      </w:r>
      <w:r w:rsidR="002669E9" w:rsidRPr="00B23DEB">
        <w:rPr>
          <w:rFonts w:eastAsia="Times New Roman"/>
        </w:rPr>
        <w:instrText xml:space="preserve"> </w:instrText>
      </w:r>
      <w:r w:rsidRPr="00B23DEB">
        <w:rPr>
          <w:rFonts w:eastAsia="Times New Roman"/>
        </w:rPr>
        <w:instrText>.  </w:instrText>
      </w:r>
      <w:r w:rsidR="002669E9" w:rsidRPr="00B23DEB">
        <w:rPr>
          <w:rFonts w:eastAsia="Times New Roman"/>
        </w:rPr>
        <w:instrText xml:space="preserve">SEQ level0 \*arabic </w:instrText>
      </w:r>
      <w:r w:rsidR="002669E9" w:rsidRPr="00B23DEB">
        <w:rPr>
          <w:rFonts w:eastAsia="Times New Roman"/>
        </w:rPr>
        <w:fldChar w:fldCharType="separate"/>
      </w:r>
      <w:r w:rsidR="002669E9" w:rsidRPr="00B23DEB">
        <w:rPr>
          <w:rFonts w:eastAsia="Times New Roman"/>
          <w:noProof/>
        </w:rPr>
        <w:instrText>142</w:instrText>
      </w:r>
      <w:r w:rsidR="002669E9" w:rsidRPr="00B23DEB">
        <w:rPr>
          <w:rFonts w:eastAsia="Times New Roman"/>
        </w:rPr>
        <w:fldChar w:fldCharType="end"/>
      </w:r>
      <w:r w:rsidRPr="00B23DEB">
        <w:rPr>
          <w:rFonts w:eastAsia="Times New Roman"/>
        </w:rPr>
        <w:instrText xml:space="preserve"> </w:instrText>
      </w:r>
      <w:r w:rsidRPr="00B23DEB">
        <w:rPr>
          <w:rFonts w:eastAsia="Times New Roman"/>
        </w:rPr>
        <w:fldChar w:fldCharType="separate"/>
      </w:r>
      <w:r w:rsidR="006549E3">
        <w:rPr>
          <w:rFonts w:eastAsia="Times New Roman"/>
          <w:noProof/>
        </w:rPr>
        <w:t>1</w:t>
      </w:r>
      <w:r w:rsidRPr="00B23DEB">
        <w:rPr>
          <w:rFonts w:eastAsia="Times New Roman"/>
        </w:rPr>
        <w:fldChar w:fldCharType="end"/>
      </w:r>
      <w:r w:rsidR="002669E9" w:rsidRPr="00B23DEB">
        <w:rPr>
          <w:rFonts w:eastAsia="Times New Roman"/>
        </w:rPr>
        <w:t>.  </w:t>
      </w:r>
      <w:r w:rsidR="00081BE4" w:rsidRPr="00B23DEB">
        <w:rPr>
          <w:rFonts w:eastAsia="Times New Roman"/>
        </w:rPr>
        <w:t>The plane crash at Smolensk Severny Airdrome on 10 April 2010, in which all 96 persons on board, including the President of Poland and other senior representatives of the Polish State, who were on their way to attend the ceremony marking the 70</w:t>
      </w:r>
      <w:r w:rsidR="00081BE4" w:rsidRPr="00B23DEB">
        <w:rPr>
          <w:rFonts w:eastAsia="Times New Roman"/>
          <w:vertAlign w:val="superscript"/>
        </w:rPr>
        <w:t>th</w:t>
      </w:r>
      <w:r w:rsidR="00081BE4" w:rsidRPr="00B23DEB">
        <w:rPr>
          <w:rFonts w:eastAsia="Times New Roman"/>
        </w:rPr>
        <w:t xml:space="preserve"> anniversary of the Katyṅ Massacre, were killed, was, as the judgment records, clearly “an incident of unprecedented gravity, which affected the enti</w:t>
      </w:r>
      <w:r w:rsidR="007054C4" w:rsidRPr="00B23DEB">
        <w:rPr>
          <w:rFonts w:eastAsia="Times New Roman"/>
        </w:rPr>
        <w:t>re functioning of the State” (§ </w:t>
      </w:r>
      <w:r w:rsidR="00081BE4" w:rsidRPr="00B23DEB">
        <w:rPr>
          <w:rFonts w:eastAsia="Times New Roman"/>
        </w:rPr>
        <w:t>122). I</w:t>
      </w:r>
      <w:r w:rsidR="00787742" w:rsidRPr="00B23DEB">
        <w:rPr>
          <w:rFonts w:eastAsia="Times New Roman"/>
        </w:rPr>
        <w:t>t</w:t>
      </w:r>
      <w:r w:rsidR="00081BE4" w:rsidRPr="00B23DEB">
        <w:rPr>
          <w:rFonts w:eastAsia="Times New Roman"/>
        </w:rPr>
        <w:t> provides the background to the complaints in this case.</w:t>
      </w:r>
    </w:p>
    <w:p w:rsidR="00081BE4" w:rsidRPr="00B23DEB" w:rsidRDefault="00081BE4" w:rsidP="00B23DEB">
      <w:pPr>
        <w:pStyle w:val="OpiPara"/>
        <w:rPr>
          <w:rFonts w:eastAsia="Times New Roman"/>
        </w:rPr>
      </w:pPr>
      <w:r w:rsidRPr="00B23DEB">
        <w:rPr>
          <w:rFonts w:eastAsia="Times New Roman"/>
        </w:rPr>
        <w:fldChar w:fldCharType="begin"/>
      </w:r>
      <w:r w:rsidRPr="00B23DEB">
        <w:rPr>
          <w:rFonts w:eastAsia="Times New Roman"/>
        </w:rPr>
        <w:instrText xml:space="preserve"> SEQ level0 \*arabic </w:instrText>
      </w:r>
      <w:r w:rsidRPr="00B23DEB">
        <w:rPr>
          <w:rFonts w:eastAsia="Times New Roman"/>
        </w:rPr>
        <w:fldChar w:fldCharType="separate"/>
      </w:r>
      <w:r w:rsidR="006549E3">
        <w:rPr>
          <w:rFonts w:eastAsia="Times New Roman"/>
          <w:noProof/>
        </w:rPr>
        <w:t>2</w:t>
      </w:r>
      <w:r w:rsidRPr="00B23DEB">
        <w:rPr>
          <w:rFonts w:eastAsia="Times New Roman"/>
        </w:rPr>
        <w:fldChar w:fldCharType="end"/>
      </w:r>
      <w:r w:rsidRPr="00B23DEB">
        <w:rPr>
          <w:rFonts w:eastAsia="Times New Roman"/>
        </w:rPr>
        <w:t>.  Applying the principle of subsidiarity and out of respect for the highly sensitive and emotionally charged context, the Court in its judgment rightly, in my view, limited itself to addressing the complaints made by the applicants only to the extent absolutely necessary.</w:t>
      </w:r>
      <w:r w:rsidR="00A60113" w:rsidRPr="00B23DEB">
        <w:rPr>
          <w:rFonts w:eastAsia="Times New Roman"/>
        </w:rPr>
        <w:t xml:space="preserve"> </w:t>
      </w:r>
      <w:r w:rsidRPr="00B23DEB">
        <w:rPr>
          <w:rFonts w:eastAsia="Times New Roman"/>
        </w:rPr>
        <w:t>As a consequence, it (a) found that the order for the exhumation of some of the victims of that plane crash, under Articles 209 and 210 of the Code of Criminal Procedure, was not “in accordance with the law”, as required by Article 8 § 2 of the Convention (§ 127) and (b) considered that it was not necessary to consider and/or reach a concluded view on whether that exhumation was “necessary in a democratic society” and/or proportionate (§ 129).</w:t>
      </w:r>
    </w:p>
    <w:p w:rsidR="00081BE4" w:rsidRPr="00B23DEB" w:rsidRDefault="00081BE4" w:rsidP="00B23DEB">
      <w:pPr>
        <w:pStyle w:val="OpiPara"/>
        <w:rPr>
          <w:rFonts w:eastAsia="Times New Roman"/>
        </w:rPr>
      </w:pPr>
      <w:r w:rsidRPr="00B23DEB">
        <w:rPr>
          <w:rFonts w:eastAsia="Times New Roman"/>
        </w:rPr>
        <w:fldChar w:fldCharType="begin"/>
      </w:r>
      <w:r w:rsidRPr="00B23DEB">
        <w:rPr>
          <w:rFonts w:eastAsia="Times New Roman"/>
        </w:rPr>
        <w:instrText xml:space="preserve"> SEQ level0 \*arabic </w:instrText>
      </w:r>
      <w:r w:rsidRPr="00B23DEB">
        <w:rPr>
          <w:rFonts w:eastAsia="Times New Roman"/>
        </w:rPr>
        <w:fldChar w:fldCharType="separate"/>
      </w:r>
      <w:r w:rsidR="006549E3">
        <w:rPr>
          <w:rFonts w:eastAsia="Times New Roman"/>
          <w:noProof/>
        </w:rPr>
        <w:t>3</w:t>
      </w:r>
      <w:r w:rsidRPr="00B23DEB">
        <w:rPr>
          <w:rFonts w:eastAsia="Times New Roman"/>
        </w:rPr>
        <w:fldChar w:fldCharType="end"/>
      </w:r>
      <w:r w:rsidRPr="00B23DEB">
        <w:rPr>
          <w:rFonts w:eastAsia="Times New Roman"/>
        </w:rPr>
        <w:t>.  I fully agree both with that approach as well as with the conclusion that the interference with the applicants</w:t>
      </w:r>
      <w:r w:rsidR="00B23DEB" w:rsidRPr="00B23DEB">
        <w:rPr>
          <w:rFonts w:eastAsia="Times New Roman"/>
        </w:rPr>
        <w:t>’</w:t>
      </w:r>
      <w:r w:rsidRPr="00B23DEB">
        <w:rPr>
          <w:rFonts w:eastAsia="Times New Roman"/>
        </w:rPr>
        <w:t xml:space="preserve"> rights for respect of their private and family life under Article 8 § 1 of the Convention was not “in accordance with the law” because “Polish law did not provide sufficient safeguards against arbitrariness with regard to the prosecutorial decision ordering exhumation” (§ 126).</w:t>
      </w:r>
    </w:p>
    <w:p w:rsidR="00081BE4" w:rsidRPr="00B23DEB" w:rsidRDefault="00081BE4" w:rsidP="00B23DEB">
      <w:pPr>
        <w:pStyle w:val="OpiPara"/>
        <w:rPr>
          <w:rFonts w:eastAsia="Times New Roman"/>
        </w:rPr>
      </w:pPr>
      <w:r w:rsidRPr="00B23DEB">
        <w:rPr>
          <w:rFonts w:eastAsia="Times New Roman"/>
        </w:rPr>
        <w:fldChar w:fldCharType="begin"/>
      </w:r>
      <w:r w:rsidRPr="00B23DEB">
        <w:rPr>
          <w:rFonts w:eastAsia="Times New Roman"/>
        </w:rPr>
        <w:instrText xml:space="preserve"> SEQ level0 \*arabic </w:instrText>
      </w:r>
      <w:r w:rsidRPr="00B23DEB">
        <w:rPr>
          <w:rFonts w:eastAsia="Times New Roman"/>
        </w:rPr>
        <w:fldChar w:fldCharType="separate"/>
      </w:r>
      <w:r w:rsidR="006549E3">
        <w:rPr>
          <w:rFonts w:eastAsia="Times New Roman"/>
          <w:noProof/>
        </w:rPr>
        <w:t>4</w:t>
      </w:r>
      <w:r w:rsidRPr="00B23DEB">
        <w:rPr>
          <w:rFonts w:eastAsia="Times New Roman"/>
        </w:rPr>
        <w:fldChar w:fldCharType="end"/>
      </w:r>
      <w:r w:rsidRPr="00B23DEB">
        <w:rPr>
          <w:rFonts w:eastAsia="Times New Roman"/>
        </w:rPr>
        <w:t>.  For the reasons set out in a little more detail below, the only disagreement I have with the judgment relates to the necessity and appropriateness of the Court</w:t>
      </w:r>
      <w:r w:rsidR="00B23DEB" w:rsidRPr="00B23DEB">
        <w:rPr>
          <w:rFonts w:eastAsia="Times New Roman"/>
        </w:rPr>
        <w:t>’</w:t>
      </w:r>
      <w:r w:rsidRPr="00B23DEB">
        <w:rPr>
          <w:rFonts w:eastAsia="Times New Roman"/>
        </w:rPr>
        <w:t>s response to the Government</w:t>
      </w:r>
      <w:r w:rsidR="00B23DEB" w:rsidRPr="00B23DEB">
        <w:rPr>
          <w:rFonts w:eastAsia="Times New Roman"/>
        </w:rPr>
        <w:t>’</w:t>
      </w:r>
      <w:r w:rsidRPr="00B23DEB">
        <w:rPr>
          <w:rFonts w:eastAsia="Times New Roman"/>
        </w:rPr>
        <w:t>s arguments based on Article 2 of the Convention in §§ 121 to 122 of the judgment.</w:t>
      </w:r>
    </w:p>
    <w:p w:rsidR="00081BE4" w:rsidRPr="00B23DEB" w:rsidRDefault="00081BE4" w:rsidP="00B23DEB">
      <w:pPr>
        <w:pStyle w:val="OpiHA0"/>
        <w:rPr>
          <w:rFonts w:eastAsia="Times New Roman"/>
        </w:rPr>
      </w:pPr>
      <w:r w:rsidRPr="00B23DEB">
        <w:rPr>
          <w:rFonts w:eastAsia="Times New Roman"/>
        </w:rPr>
        <w:t>Article 2 and balancing</w:t>
      </w:r>
    </w:p>
    <w:p w:rsidR="00081BE4" w:rsidRPr="00B23DEB" w:rsidRDefault="00081BE4" w:rsidP="00B23DEB">
      <w:pPr>
        <w:pStyle w:val="OpiPara"/>
        <w:rPr>
          <w:rFonts w:eastAsia="Times New Roman"/>
        </w:rPr>
      </w:pPr>
      <w:r w:rsidRPr="00B23DEB">
        <w:rPr>
          <w:rFonts w:eastAsia="Times New Roman"/>
        </w:rPr>
        <w:fldChar w:fldCharType="begin"/>
      </w:r>
      <w:r w:rsidRPr="00B23DEB">
        <w:rPr>
          <w:rFonts w:eastAsia="Times New Roman"/>
        </w:rPr>
        <w:instrText xml:space="preserve"> SEQ level0 \*arabic </w:instrText>
      </w:r>
      <w:r w:rsidRPr="00B23DEB">
        <w:rPr>
          <w:rFonts w:eastAsia="Times New Roman"/>
        </w:rPr>
        <w:fldChar w:fldCharType="separate"/>
      </w:r>
      <w:r w:rsidR="006549E3">
        <w:rPr>
          <w:rFonts w:eastAsia="Times New Roman"/>
          <w:noProof/>
        </w:rPr>
        <w:t>5</w:t>
      </w:r>
      <w:r w:rsidRPr="00B23DEB">
        <w:rPr>
          <w:rFonts w:eastAsia="Times New Roman"/>
        </w:rPr>
        <w:fldChar w:fldCharType="end"/>
      </w:r>
      <w:r w:rsidRPr="00B23DEB">
        <w:rPr>
          <w:rFonts w:eastAsia="Times New Roman"/>
        </w:rPr>
        <w:t>.  In response to the applicants</w:t>
      </w:r>
      <w:r w:rsidR="00B23DEB" w:rsidRPr="00B23DEB">
        <w:rPr>
          <w:rFonts w:eastAsia="Times New Roman"/>
        </w:rPr>
        <w:t>’</w:t>
      </w:r>
      <w:r w:rsidRPr="00B23DEB">
        <w:rPr>
          <w:rFonts w:eastAsia="Times New Roman"/>
        </w:rPr>
        <w:t xml:space="preserve"> complaint of a breach of Article 8 of the Convention arising out of the exhumations ordered by the Polish prosecutor, the Government, perfectly understandably, raised the argument that the rights of the applicants had to be balanced against any obligations the State may have under Article 2 of the Convention to conduct an investigation into the causes of the loss of life resulting from the Smolensk plane crash.</w:t>
      </w:r>
    </w:p>
    <w:p w:rsidR="00081BE4" w:rsidRPr="00B23DEB" w:rsidRDefault="00081BE4" w:rsidP="00B23DEB">
      <w:pPr>
        <w:pStyle w:val="OpiPara"/>
        <w:rPr>
          <w:rFonts w:eastAsia="Times New Roman"/>
        </w:rPr>
      </w:pPr>
      <w:r w:rsidRPr="00B23DEB">
        <w:rPr>
          <w:rFonts w:eastAsia="Times New Roman"/>
        </w:rPr>
        <w:fldChar w:fldCharType="begin"/>
      </w:r>
      <w:r w:rsidRPr="00B23DEB">
        <w:rPr>
          <w:rFonts w:eastAsia="Times New Roman"/>
        </w:rPr>
        <w:instrText xml:space="preserve"> SEQ level0 \*arabic </w:instrText>
      </w:r>
      <w:r w:rsidRPr="00B23DEB">
        <w:rPr>
          <w:rFonts w:eastAsia="Times New Roman"/>
        </w:rPr>
        <w:fldChar w:fldCharType="separate"/>
      </w:r>
      <w:r w:rsidR="006549E3">
        <w:rPr>
          <w:rFonts w:eastAsia="Times New Roman"/>
          <w:noProof/>
        </w:rPr>
        <w:t>6</w:t>
      </w:r>
      <w:r w:rsidRPr="00B23DEB">
        <w:rPr>
          <w:rFonts w:eastAsia="Times New Roman"/>
        </w:rPr>
        <w:fldChar w:fldCharType="end"/>
      </w:r>
      <w:r w:rsidRPr="00B23DEB">
        <w:rPr>
          <w:rFonts w:eastAsia="Times New Roman"/>
        </w:rPr>
        <w:t>.  While both parties in their pleadings addressed in detail the position under Article 8 and set out their respective positions, no Article 2 complaint was before the Court and no detailed submissions on the existence, nature and/or extent of the duty imposed by Article 2 on the Polish State were either sought by the Court or otherwise made by the parties.</w:t>
      </w:r>
    </w:p>
    <w:p w:rsidR="00081BE4" w:rsidRPr="00B23DEB" w:rsidRDefault="00081BE4" w:rsidP="00B23DEB">
      <w:pPr>
        <w:pStyle w:val="OpiPara"/>
        <w:rPr>
          <w:rFonts w:eastAsia="Times New Roman"/>
        </w:rPr>
      </w:pPr>
      <w:r w:rsidRPr="00B23DEB">
        <w:rPr>
          <w:rFonts w:eastAsia="Times New Roman"/>
        </w:rPr>
        <w:fldChar w:fldCharType="begin"/>
      </w:r>
      <w:r w:rsidRPr="00B23DEB">
        <w:rPr>
          <w:rFonts w:eastAsia="Times New Roman"/>
        </w:rPr>
        <w:instrText xml:space="preserve"> SEQ level0 \*arabic </w:instrText>
      </w:r>
      <w:r w:rsidRPr="00B23DEB">
        <w:rPr>
          <w:rFonts w:eastAsia="Times New Roman"/>
        </w:rPr>
        <w:fldChar w:fldCharType="separate"/>
      </w:r>
      <w:r w:rsidR="006549E3">
        <w:rPr>
          <w:rFonts w:eastAsia="Times New Roman"/>
          <w:noProof/>
        </w:rPr>
        <w:t>7</w:t>
      </w:r>
      <w:r w:rsidRPr="00B23DEB">
        <w:rPr>
          <w:rFonts w:eastAsia="Times New Roman"/>
        </w:rPr>
        <w:fldChar w:fldCharType="end"/>
      </w:r>
      <w:r w:rsidRPr="00B23DEB">
        <w:rPr>
          <w:rFonts w:eastAsia="Times New Roman"/>
        </w:rPr>
        <w:t xml:space="preserve">. In light of the principle of subsidiarity and out of respect for the highly sensitive </w:t>
      </w:r>
      <w:r w:rsidR="007054C4" w:rsidRPr="00B23DEB">
        <w:rPr>
          <w:rFonts w:eastAsia="Times New Roman"/>
        </w:rPr>
        <w:t xml:space="preserve">and emotionally charged context </w:t>
      </w:r>
      <w:r w:rsidRPr="00B23DEB">
        <w:rPr>
          <w:rFonts w:eastAsia="Times New Roman"/>
        </w:rPr>
        <w:t>of these particular applications, it seems to me that the passages in §§ 121 to 122 were both unnecessary and, in so far as they may be misunderstood as an endorsement or acknowledgement of the compliance of the Polish investigations with Article 2, inappropriate.</w:t>
      </w:r>
    </w:p>
    <w:p w:rsidR="00A60113" w:rsidRPr="00B23DEB" w:rsidRDefault="00081BE4" w:rsidP="00B23DEB">
      <w:pPr>
        <w:pStyle w:val="OpiPara"/>
        <w:rPr>
          <w:rFonts w:eastAsia="Times New Roman"/>
        </w:rPr>
      </w:pPr>
      <w:r w:rsidRPr="00B23DEB">
        <w:rPr>
          <w:rFonts w:eastAsia="Times New Roman"/>
        </w:rPr>
        <w:fldChar w:fldCharType="begin"/>
      </w:r>
      <w:r w:rsidRPr="00B23DEB">
        <w:rPr>
          <w:rFonts w:eastAsia="Times New Roman"/>
        </w:rPr>
        <w:instrText xml:space="preserve"> SEQ level0 \*arabic </w:instrText>
      </w:r>
      <w:r w:rsidRPr="00B23DEB">
        <w:rPr>
          <w:rFonts w:eastAsia="Times New Roman"/>
        </w:rPr>
        <w:fldChar w:fldCharType="separate"/>
      </w:r>
      <w:r w:rsidR="006549E3">
        <w:rPr>
          <w:rFonts w:eastAsia="Times New Roman"/>
          <w:noProof/>
        </w:rPr>
        <w:t>8</w:t>
      </w:r>
      <w:r w:rsidRPr="00B23DEB">
        <w:rPr>
          <w:rFonts w:eastAsia="Times New Roman"/>
        </w:rPr>
        <w:fldChar w:fldCharType="end"/>
      </w:r>
      <w:r w:rsidRPr="00B23DEB">
        <w:rPr>
          <w:rFonts w:eastAsia="Times New Roman"/>
        </w:rPr>
        <w:t>.  Why unnecessary?</w:t>
      </w:r>
      <w:r w:rsidR="00A60113" w:rsidRPr="00B23DEB">
        <w:rPr>
          <w:rFonts w:eastAsia="Times New Roman"/>
        </w:rPr>
        <w:t xml:space="preserve"> </w:t>
      </w:r>
      <w:r w:rsidRPr="00B23DEB">
        <w:rPr>
          <w:rFonts w:eastAsia="Times New Roman"/>
        </w:rPr>
        <w:t>Even though the Polish government first relies on the obligations under Article 2 of the Convention under the heading “The requirement of lawfulness”, its argument was squarely put on the basis that “[t]he state authorities must have balanced the national interests behind a full investigation into the circumstances of the catastrophe – as required by Article 2” with the “interest of the protection of family and private life of the victims as protected by Article 8 § 1 of the Convention” and the submissions that “the state authorities correctly carried out this balancing out [sic] and appropriately weighed the co</w:t>
      </w:r>
      <w:r w:rsidR="007054C4" w:rsidRPr="00B23DEB">
        <w:rPr>
          <w:rFonts w:eastAsia="Times New Roman"/>
        </w:rPr>
        <w:t>nflicting interests at hand” (§ </w:t>
      </w:r>
      <w:r w:rsidRPr="00B23DEB">
        <w:rPr>
          <w:rFonts w:eastAsia="Times New Roman"/>
        </w:rPr>
        <w:t>75 of the Government</w:t>
      </w:r>
      <w:r w:rsidR="00B23DEB" w:rsidRPr="00B23DEB">
        <w:rPr>
          <w:rFonts w:eastAsia="Times New Roman"/>
        </w:rPr>
        <w:t>’</w:t>
      </w:r>
      <w:r w:rsidRPr="00B23DEB">
        <w:rPr>
          <w:rFonts w:eastAsia="Times New Roman"/>
        </w:rPr>
        <w:t>s Observations of 22 N</w:t>
      </w:r>
      <w:r w:rsidR="007054C4" w:rsidRPr="00B23DEB">
        <w:rPr>
          <w:rFonts w:eastAsia="Times New Roman"/>
        </w:rPr>
        <w:t>ovember 2017).</w:t>
      </w:r>
      <w:r w:rsidR="00A60113" w:rsidRPr="00B23DEB">
        <w:rPr>
          <w:rFonts w:eastAsia="Times New Roman"/>
        </w:rPr>
        <w:t xml:space="preserve"> </w:t>
      </w:r>
      <w:r w:rsidR="007054C4" w:rsidRPr="00B23DEB">
        <w:rPr>
          <w:rFonts w:eastAsia="Times New Roman"/>
        </w:rPr>
        <w:t>The Court, in § </w:t>
      </w:r>
      <w:r w:rsidRPr="00B23DEB">
        <w:rPr>
          <w:rFonts w:eastAsia="Times New Roman"/>
        </w:rPr>
        <w:t>121, consequently also refers to the obligations under Article 2 of the Convention as support for an argument that “the State authorities are required to find due balance” between the requirements of an investigation under Article 2 and the protection of the right to respect for private and family life of the affected individuals under Article 8.</w:t>
      </w:r>
      <w:r w:rsidR="00A60113" w:rsidRPr="00B23DEB">
        <w:rPr>
          <w:rFonts w:eastAsia="Times New Roman"/>
        </w:rPr>
        <w:t xml:space="preserve"> </w:t>
      </w:r>
      <w:r w:rsidRPr="00B23DEB">
        <w:rPr>
          <w:rFonts w:eastAsia="Times New Roman"/>
        </w:rPr>
        <w:t>While both do so under the heading related to the lawfulness of the interference, it seems to me clear that, in fact, the need for a balance only arises at the later stage (if one gets there) when the Court is considering whether a particular interference with the rights under Article 8 § 1 are “necessary in a democratic society” and/or proportionate.</w:t>
      </w:r>
      <w:r w:rsidR="00A60113" w:rsidRPr="00B23DEB">
        <w:rPr>
          <w:rFonts w:eastAsia="Times New Roman"/>
        </w:rPr>
        <w:t xml:space="preserve"> </w:t>
      </w:r>
      <w:r w:rsidRPr="00B23DEB">
        <w:rPr>
          <w:rFonts w:eastAsia="Times New Roman"/>
        </w:rPr>
        <w:t>Neither the need for a balance generally nor any obligations on the Polish State arising under Article 2 are either required or, in this case, relevant to answering the question whether the relevant Polish law complied with the requirements of the rule of law and whether it provided sufficient safeguards against arbitrariness so as to be “in accordance with the law”.</w:t>
      </w:r>
    </w:p>
    <w:p w:rsidR="00081BE4" w:rsidRPr="00B23DEB" w:rsidRDefault="00081BE4" w:rsidP="00B23DEB">
      <w:pPr>
        <w:pStyle w:val="OpiPara"/>
        <w:rPr>
          <w:rFonts w:eastAsia="Times New Roman"/>
        </w:rPr>
      </w:pPr>
      <w:r w:rsidRPr="00B23DEB">
        <w:rPr>
          <w:rFonts w:eastAsia="Times New Roman"/>
        </w:rPr>
        <w:fldChar w:fldCharType="begin"/>
      </w:r>
      <w:r w:rsidRPr="00B23DEB">
        <w:rPr>
          <w:rFonts w:eastAsia="Times New Roman"/>
        </w:rPr>
        <w:instrText xml:space="preserve"> SEQ level0 \*arabic </w:instrText>
      </w:r>
      <w:r w:rsidRPr="00B23DEB">
        <w:rPr>
          <w:rFonts w:eastAsia="Times New Roman"/>
        </w:rPr>
        <w:fldChar w:fldCharType="separate"/>
      </w:r>
      <w:r w:rsidR="006549E3">
        <w:rPr>
          <w:rFonts w:eastAsia="Times New Roman"/>
          <w:noProof/>
        </w:rPr>
        <w:t>9</w:t>
      </w:r>
      <w:r w:rsidRPr="00B23DEB">
        <w:rPr>
          <w:rFonts w:eastAsia="Times New Roman"/>
        </w:rPr>
        <w:fldChar w:fldCharType="end"/>
      </w:r>
      <w:r w:rsidRPr="00B23DEB">
        <w:rPr>
          <w:rFonts w:eastAsia="Times New Roman"/>
        </w:rPr>
        <w:t xml:space="preserve">.  Why inappropriate? As I indicated above, as an </w:t>
      </w:r>
      <w:r w:rsidRPr="00B23DEB">
        <w:rPr>
          <w:rFonts w:eastAsia="Times New Roman"/>
          <w:i/>
        </w:rPr>
        <w:t>obiter dictum</w:t>
      </w:r>
      <w:r w:rsidRPr="00B23DEB">
        <w:rPr>
          <w:rFonts w:eastAsia="Times New Roman"/>
        </w:rPr>
        <w:t xml:space="preserve"> not strictly relevant or necessary for the conclusion the Court reached and expressed without having had detailed submissions on the Article 2 aspect, the passages in §§121 to 122, in my view, create an unnecessary risk of being misunderstood or misinterpreted and are, on their face, too narrowly drawn by their almost exclusive reference to the need for any investigation under Article 2 to be “effective”.</w:t>
      </w:r>
    </w:p>
    <w:p w:rsidR="00081BE4" w:rsidRPr="00B23DEB" w:rsidRDefault="00081BE4" w:rsidP="00B23DEB">
      <w:pPr>
        <w:pStyle w:val="OpiPara"/>
        <w:rPr>
          <w:rFonts w:eastAsia="Times New Roman"/>
        </w:rPr>
      </w:pPr>
      <w:r w:rsidRPr="00B23DEB">
        <w:rPr>
          <w:rFonts w:eastAsia="Times New Roman"/>
        </w:rPr>
        <w:fldChar w:fldCharType="begin"/>
      </w:r>
      <w:r w:rsidRPr="00B23DEB">
        <w:rPr>
          <w:rFonts w:eastAsia="Times New Roman"/>
        </w:rPr>
        <w:instrText xml:space="preserve"> SEQ level0 \*arabic </w:instrText>
      </w:r>
      <w:r w:rsidRPr="00B23DEB">
        <w:rPr>
          <w:rFonts w:eastAsia="Times New Roman"/>
        </w:rPr>
        <w:fldChar w:fldCharType="separate"/>
      </w:r>
      <w:r w:rsidR="006549E3">
        <w:rPr>
          <w:rFonts w:eastAsia="Times New Roman"/>
          <w:noProof/>
        </w:rPr>
        <w:t>10</w:t>
      </w:r>
      <w:r w:rsidRPr="00B23DEB">
        <w:rPr>
          <w:rFonts w:eastAsia="Times New Roman"/>
        </w:rPr>
        <w:fldChar w:fldCharType="end"/>
      </w:r>
      <w:r w:rsidRPr="00B23DEB">
        <w:rPr>
          <w:rFonts w:eastAsia="Times New Roman"/>
        </w:rPr>
        <w:t>.  Of course I agree that, in so far as it is necessary for a court to consider the necessity and/or proportionality of an order for the exhumation of the victim of an incident under Article 8 § 2, any obligation on the state ordering the exhumation arising under Article 2 is plainly a highly relevant and important consideration. In fact, frequently, the exhumation of a body will be a necessary part of an effective investigation within the meaning of the State</w:t>
      </w:r>
      <w:r w:rsidR="00B23DEB" w:rsidRPr="00B23DEB">
        <w:rPr>
          <w:rFonts w:eastAsia="Times New Roman"/>
        </w:rPr>
        <w:t>’</w:t>
      </w:r>
      <w:r w:rsidRPr="00B23DEB">
        <w:rPr>
          <w:rFonts w:eastAsia="Times New Roman"/>
        </w:rPr>
        <w:t>s procedural obligation under Article 2 of the Convention and, as a matter of principle, Article 8 does not provide family members with an unconditional right to prevent the authorities from carrying out such an exhumation in the appropriate circumstances.</w:t>
      </w:r>
    </w:p>
    <w:p w:rsidR="00081BE4" w:rsidRPr="00B23DEB" w:rsidRDefault="00081BE4" w:rsidP="00B23DEB">
      <w:pPr>
        <w:pStyle w:val="OpiPara"/>
        <w:rPr>
          <w:rFonts w:eastAsia="Times New Roman"/>
        </w:rPr>
      </w:pPr>
      <w:r w:rsidRPr="00B23DEB">
        <w:rPr>
          <w:rFonts w:eastAsia="Times New Roman"/>
        </w:rPr>
        <w:fldChar w:fldCharType="begin"/>
      </w:r>
      <w:r w:rsidRPr="00B23DEB">
        <w:rPr>
          <w:rFonts w:eastAsia="Times New Roman"/>
        </w:rPr>
        <w:instrText xml:space="preserve"> SEQ level0 \*arabic </w:instrText>
      </w:r>
      <w:r w:rsidRPr="00B23DEB">
        <w:rPr>
          <w:rFonts w:eastAsia="Times New Roman"/>
        </w:rPr>
        <w:fldChar w:fldCharType="separate"/>
      </w:r>
      <w:r w:rsidR="006549E3">
        <w:rPr>
          <w:rFonts w:eastAsia="Times New Roman"/>
          <w:noProof/>
        </w:rPr>
        <w:t>11</w:t>
      </w:r>
      <w:r w:rsidRPr="00B23DEB">
        <w:rPr>
          <w:rFonts w:eastAsia="Times New Roman"/>
        </w:rPr>
        <w:fldChar w:fldCharType="end"/>
      </w:r>
      <w:r w:rsidRPr="00B23DEB">
        <w:rPr>
          <w:rFonts w:eastAsia="Times New Roman"/>
        </w:rPr>
        <w:t>.  That, however, was not the question the Court decided this case on nor was it a question the Court ultimately felt it necessary to consider and determine. This may be even more important in light of the fact that, as I understand it, this may well be a question the domestic courts may have to answer at some stage (whether in these or other cases) depending on the outcome of the reference by the Warsaw Regional Court to the Constitutional Court, made on 3 April 2017 (§ 27) on the constitutionality of Article 210 of the Code of Criminal Procedure.</w:t>
      </w:r>
      <w:r w:rsidR="00A60113" w:rsidRPr="00B23DEB">
        <w:rPr>
          <w:rFonts w:eastAsia="Times New Roman"/>
        </w:rPr>
        <w:t xml:space="preserve"> </w:t>
      </w:r>
      <w:r w:rsidRPr="00B23DEB">
        <w:rPr>
          <w:rFonts w:eastAsia="Times New Roman"/>
        </w:rPr>
        <w:t>The Court should not be taken to have pre-determined this question (either specifically or generally) if it were to arise before the domestic courts.</w:t>
      </w:r>
    </w:p>
    <w:p w:rsidR="00081BE4" w:rsidRPr="00B23DEB" w:rsidRDefault="00081BE4" w:rsidP="00B23DEB">
      <w:pPr>
        <w:pStyle w:val="OpiPara"/>
        <w:rPr>
          <w:rFonts w:eastAsia="Times New Roman"/>
        </w:rPr>
      </w:pPr>
      <w:r w:rsidRPr="00B23DEB">
        <w:rPr>
          <w:rFonts w:eastAsia="Times New Roman"/>
        </w:rPr>
        <w:fldChar w:fldCharType="begin"/>
      </w:r>
      <w:r w:rsidRPr="00B23DEB">
        <w:rPr>
          <w:rFonts w:eastAsia="Times New Roman"/>
        </w:rPr>
        <w:instrText xml:space="preserve"> SEQ level0 \*arabic </w:instrText>
      </w:r>
      <w:r w:rsidRPr="00B23DEB">
        <w:rPr>
          <w:rFonts w:eastAsia="Times New Roman"/>
        </w:rPr>
        <w:fldChar w:fldCharType="separate"/>
      </w:r>
      <w:r w:rsidR="006549E3">
        <w:rPr>
          <w:rFonts w:eastAsia="Times New Roman"/>
          <w:noProof/>
        </w:rPr>
        <w:t>12</w:t>
      </w:r>
      <w:r w:rsidRPr="00B23DEB">
        <w:rPr>
          <w:rFonts w:eastAsia="Times New Roman"/>
        </w:rPr>
        <w:fldChar w:fldCharType="end"/>
      </w:r>
      <w:r w:rsidR="007054C4" w:rsidRPr="00B23DEB">
        <w:rPr>
          <w:rFonts w:eastAsia="Times New Roman"/>
        </w:rPr>
        <w:t>.  </w:t>
      </w:r>
      <w:r w:rsidRPr="00B23DEB">
        <w:rPr>
          <w:rFonts w:eastAsia="Times New Roman"/>
        </w:rPr>
        <w:t>Furthermore, it is important to stress that “effectiveness” of an investigation is not the only relevant aspect of the positive obligation under Article 2.</w:t>
      </w:r>
      <w:r w:rsidR="00A60113" w:rsidRPr="00B23DEB">
        <w:rPr>
          <w:rFonts w:eastAsia="Times New Roman"/>
        </w:rPr>
        <w:t xml:space="preserve"> </w:t>
      </w:r>
      <w:r w:rsidRPr="00B23DEB">
        <w:rPr>
          <w:rFonts w:eastAsia="Times New Roman"/>
        </w:rPr>
        <w:t xml:space="preserve">As this Court has repeatedly made clear, in addition to being effective and independent, any investigation under Article 2 also has to (a) be prompt (see e.g. </w:t>
      </w:r>
      <w:r w:rsidRPr="00B23DEB">
        <w:rPr>
          <w:rFonts w:eastAsia="Times New Roman"/>
          <w:i/>
        </w:rPr>
        <w:t>Armani Da Silva</w:t>
      </w:r>
      <w:r w:rsidRPr="00B23DEB">
        <w:rPr>
          <w:rFonts w:eastAsia="Times New Roman"/>
        </w:rPr>
        <w:t xml:space="preserve"> </w:t>
      </w:r>
      <w:r w:rsidRPr="00B23DEB">
        <w:rPr>
          <w:rFonts w:eastAsia="Times New Roman"/>
          <w:i/>
        </w:rPr>
        <w:t xml:space="preserve">v. the United Kingdom </w:t>
      </w:r>
      <w:r w:rsidR="007054C4" w:rsidRPr="00B23DEB">
        <w:rPr>
          <w:rFonts w:eastAsia="Times New Roman"/>
        </w:rPr>
        <w:t>[GC], no. </w:t>
      </w:r>
      <w:r w:rsidRPr="00B23DEB">
        <w:rPr>
          <w:rFonts w:eastAsia="Times New Roman"/>
        </w:rPr>
        <w:t xml:space="preserve">5878/08, § 237, 30 March 2016) and (b) proceed with reasonable expedition (see e.g. </w:t>
      </w:r>
      <w:r w:rsidRPr="00B23DEB">
        <w:rPr>
          <w:rFonts w:eastAsia="Times New Roman"/>
          <w:i/>
          <w:lang w:val="en-US"/>
        </w:rPr>
        <w:t xml:space="preserve">Giuliani and Gaggio v. Italy </w:t>
      </w:r>
      <w:r w:rsidR="009D5E37" w:rsidRPr="00B23DEB">
        <w:rPr>
          <w:rFonts w:eastAsia="Times New Roman"/>
          <w:lang w:val="en-US"/>
        </w:rPr>
        <w:t>[GC], no. 23458/02, § </w:t>
      </w:r>
      <w:r w:rsidRPr="00B23DEB">
        <w:rPr>
          <w:rFonts w:eastAsia="Times New Roman"/>
          <w:lang w:val="en-US"/>
        </w:rPr>
        <w:t>305, ECHR 2011 (extracts))</w:t>
      </w:r>
      <w:r w:rsidRPr="00B23DEB">
        <w:rPr>
          <w:rFonts w:eastAsia="Times New Roman"/>
        </w:rPr>
        <w:t>. In the latter case, the Court confirmed that the requirements of promptness and expedition are “essential in maintaining public confidence in their adherence to the rule of law” (</w:t>
      </w:r>
      <w:r w:rsidRPr="00B23DEB">
        <w:rPr>
          <w:rFonts w:eastAsia="Times New Roman"/>
          <w:i/>
        </w:rPr>
        <w:t>ibid.</w:t>
      </w:r>
      <w:r w:rsidRPr="00B23DEB">
        <w:rPr>
          <w:rFonts w:eastAsia="Times New Roman"/>
        </w:rPr>
        <w:t>).</w:t>
      </w:r>
    </w:p>
    <w:p w:rsidR="00081BE4" w:rsidRPr="00B23DEB" w:rsidRDefault="00081BE4" w:rsidP="00B23DEB">
      <w:pPr>
        <w:pStyle w:val="OpiPara"/>
        <w:rPr>
          <w:rFonts w:eastAsia="Times New Roman"/>
          <w:lang w:val="en-US"/>
        </w:rPr>
      </w:pPr>
      <w:r w:rsidRPr="00B23DEB">
        <w:rPr>
          <w:rFonts w:eastAsia="Times New Roman"/>
          <w:lang w:val="it-IT"/>
        </w:rPr>
        <w:fldChar w:fldCharType="begin"/>
      </w:r>
      <w:r w:rsidRPr="00B23DEB">
        <w:rPr>
          <w:rFonts w:eastAsia="Times New Roman"/>
          <w:lang w:val="en-US"/>
        </w:rPr>
        <w:instrText xml:space="preserve"> SEQ level0 \*arabic </w:instrText>
      </w:r>
      <w:r w:rsidRPr="00B23DEB">
        <w:rPr>
          <w:rFonts w:eastAsia="Times New Roman"/>
          <w:lang w:val="it-IT"/>
        </w:rPr>
        <w:fldChar w:fldCharType="separate"/>
      </w:r>
      <w:r w:rsidR="006549E3">
        <w:rPr>
          <w:rFonts w:eastAsia="Times New Roman"/>
          <w:noProof/>
          <w:lang w:val="en-US"/>
        </w:rPr>
        <w:t>13</w:t>
      </w:r>
      <w:r w:rsidRPr="00B23DEB">
        <w:rPr>
          <w:rFonts w:eastAsia="Times New Roman"/>
          <w:lang w:val="it-IT"/>
        </w:rPr>
        <w:fldChar w:fldCharType="end"/>
      </w:r>
      <w:r w:rsidRPr="00B23DEB">
        <w:rPr>
          <w:rFonts w:eastAsia="Times New Roman"/>
          <w:lang w:val="en-US"/>
        </w:rPr>
        <w:t>.  </w:t>
      </w:r>
      <w:r w:rsidRPr="00B23DEB">
        <w:rPr>
          <w:rFonts w:eastAsia="Times New Roman"/>
        </w:rPr>
        <w:t xml:space="preserve">In considering expedition, I am, of course, aware that there are aspects of the Polish criminal investigation which, despite the passage of more than eight years since the plane crash, have not been able to be concluded </w:t>
      </w:r>
      <w:r w:rsidRPr="00B23DEB">
        <w:rPr>
          <w:rFonts w:eastAsia="Times New Roman"/>
          <w:i/>
        </w:rPr>
        <w:t>inter alia</w:t>
      </w:r>
      <w:r w:rsidRPr="00B23DEB">
        <w:rPr>
          <w:rFonts w:eastAsia="Times New Roman"/>
        </w:rPr>
        <w:t xml:space="preserve"> due to a refusal by the Russian authorities to hand over the wreckage of the plane as required Appendix 13 of the Chicago Convention (see </w:t>
      </w:r>
      <w:r w:rsidRPr="00B23DEB">
        <w:rPr>
          <w:rFonts w:eastAsia="Times New Roman"/>
          <w:i/>
        </w:rPr>
        <w:t>inter alia</w:t>
      </w:r>
      <w:r w:rsidRPr="00B23DEB">
        <w:rPr>
          <w:rFonts w:eastAsia="Times New Roman"/>
        </w:rPr>
        <w:t xml:space="preserve"> the draft resolution unanimously adopted by the Committee on Legal Affairs and Human Rights of the Parliamentary Assembly of the Council of Europe on 25 June 2018 and the Draft Explanatory Report thereto)</w:t>
      </w:r>
      <w:r w:rsidRPr="00B23DEB">
        <w:rPr>
          <w:rFonts w:eastAsia="Times New Roman"/>
          <w:lang w:val="en-US"/>
        </w:rPr>
        <w:t>.</w:t>
      </w:r>
    </w:p>
    <w:p w:rsidR="00081BE4" w:rsidRPr="00B23DEB" w:rsidRDefault="00081BE4" w:rsidP="00B23DEB">
      <w:pPr>
        <w:pStyle w:val="OpiPara"/>
        <w:rPr>
          <w:rFonts w:eastAsia="Times New Roman"/>
        </w:rPr>
      </w:pPr>
      <w:r w:rsidRPr="00B23DEB">
        <w:rPr>
          <w:rFonts w:eastAsia="Times New Roman"/>
        </w:rPr>
        <w:fldChar w:fldCharType="begin"/>
      </w:r>
      <w:r w:rsidRPr="00B23DEB">
        <w:rPr>
          <w:rFonts w:eastAsia="Times New Roman"/>
        </w:rPr>
        <w:instrText xml:space="preserve"> SEQ level0 \*arabic </w:instrText>
      </w:r>
      <w:r w:rsidRPr="00B23DEB">
        <w:rPr>
          <w:rFonts w:eastAsia="Times New Roman"/>
        </w:rPr>
        <w:fldChar w:fldCharType="separate"/>
      </w:r>
      <w:r w:rsidR="006549E3">
        <w:rPr>
          <w:rFonts w:eastAsia="Times New Roman"/>
          <w:noProof/>
        </w:rPr>
        <w:t>14</w:t>
      </w:r>
      <w:r w:rsidRPr="00B23DEB">
        <w:rPr>
          <w:rFonts w:eastAsia="Times New Roman"/>
        </w:rPr>
        <w:fldChar w:fldCharType="end"/>
      </w:r>
      <w:r w:rsidRPr="00B23DEB">
        <w:rPr>
          <w:rFonts w:eastAsia="Times New Roman"/>
        </w:rPr>
        <w:t>.  However, in relation to the exhumations (in particular in light of the impact they are said to have had on the victims widows in this case), questions concerning the expeditious nature of the investigations may nevertheless arise out of the fact that, as I understand it</w:t>
      </w:r>
    </w:p>
    <w:p w:rsidR="00A60113" w:rsidRPr="00B23DEB" w:rsidRDefault="007054C4" w:rsidP="00B23DEB">
      <w:pPr>
        <w:pStyle w:val="OpiParaSub"/>
        <w:rPr>
          <w:rFonts w:eastAsia="Times New Roman"/>
        </w:rPr>
      </w:pPr>
      <w:r w:rsidRPr="00B23DEB">
        <w:rPr>
          <w:rFonts w:eastAsia="Times New Roman"/>
        </w:rPr>
        <w:t>(a)  </w:t>
      </w:r>
      <w:r w:rsidR="00081BE4" w:rsidRPr="00B23DEB">
        <w:rPr>
          <w:rFonts w:eastAsia="Times New Roman"/>
        </w:rPr>
        <w:t>the Polish authorities started their criminal investigation(s) on 10 April 2010 and, so the applicants say, could therefore have examined the victims</w:t>
      </w:r>
      <w:r w:rsidR="00B23DEB" w:rsidRPr="00B23DEB">
        <w:rPr>
          <w:rFonts w:eastAsia="Times New Roman"/>
        </w:rPr>
        <w:t>’</w:t>
      </w:r>
      <w:r w:rsidR="00081BE4" w:rsidRPr="00B23DEB">
        <w:rPr>
          <w:rFonts w:eastAsia="Times New Roman"/>
        </w:rPr>
        <w:t xml:space="preserve"> bodies then, i.e. as soon as they were returned to Poland (and before they were buried and some of them were cremated);</w:t>
      </w:r>
    </w:p>
    <w:p w:rsidR="00081BE4" w:rsidRPr="00B23DEB" w:rsidRDefault="007054C4" w:rsidP="00B23DEB">
      <w:pPr>
        <w:pStyle w:val="OpiParaSub"/>
        <w:rPr>
          <w:rFonts w:eastAsia="Times New Roman"/>
        </w:rPr>
      </w:pPr>
      <w:r w:rsidRPr="00B23DEB">
        <w:rPr>
          <w:rFonts w:eastAsia="Times New Roman"/>
        </w:rPr>
        <w:t>(b)  </w:t>
      </w:r>
      <w:r w:rsidR="00081BE4" w:rsidRPr="00B23DEB">
        <w:rPr>
          <w:rFonts w:eastAsia="Times New Roman"/>
        </w:rPr>
        <w:t>the Polish authorities carried out a few exhumations after August 2011 as a result of which some of the mis-identifications (now given as one of the reasons for the 2017/18 exhumations) were discovered; and</w:t>
      </w:r>
    </w:p>
    <w:p w:rsidR="00081BE4" w:rsidRPr="00B23DEB" w:rsidRDefault="007054C4" w:rsidP="00B23DEB">
      <w:pPr>
        <w:pStyle w:val="OpiParaSub"/>
        <w:rPr>
          <w:rFonts w:eastAsia="Times New Roman"/>
        </w:rPr>
      </w:pPr>
      <w:r w:rsidRPr="00B23DEB">
        <w:rPr>
          <w:rFonts w:eastAsia="Times New Roman"/>
        </w:rPr>
        <w:t>(c)  </w:t>
      </w:r>
      <w:r w:rsidR="00081BE4" w:rsidRPr="00B23DEB">
        <w:rPr>
          <w:rFonts w:eastAsia="Times New Roman"/>
        </w:rPr>
        <w:t>no explanation has been provided by the Respondent Government (who carries the primary burden to establish justification) for what appears to be (even taking the August 2011 date as the starting point) a more than 5</w:t>
      </w:r>
      <w:r w:rsidR="00081BE4" w:rsidRPr="00B23DEB">
        <w:rPr>
          <w:rFonts w:eastAsia="Times New Roman"/>
        </w:rPr>
        <w:noBreakHyphen/>
        <w:t>year delay in seeking to exhume these victims</w:t>
      </w:r>
      <w:r w:rsidR="00B23DEB" w:rsidRPr="00B23DEB">
        <w:rPr>
          <w:rFonts w:eastAsia="Times New Roman"/>
        </w:rPr>
        <w:t>’</w:t>
      </w:r>
      <w:r w:rsidR="00081BE4" w:rsidRPr="00B23DEB">
        <w:rPr>
          <w:rFonts w:eastAsia="Times New Roman"/>
        </w:rPr>
        <w:t xml:space="preserve"> bodies now.</w:t>
      </w:r>
    </w:p>
    <w:p w:rsidR="00081BE4" w:rsidRPr="00B23DEB" w:rsidRDefault="00081BE4" w:rsidP="00B23DEB">
      <w:pPr>
        <w:pStyle w:val="OpiPara"/>
        <w:rPr>
          <w:rFonts w:eastAsia="Times New Roman"/>
        </w:rPr>
      </w:pPr>
      <w:r w:rsidRPr="00B23DEB">
        <w:rPr>
          <w:rFonts w:eastAsia="Times New Roman"/>
        </w:rPr>
        <w:fldChar w:fldCharType="begin"/>
      </w:r>
      <w:r w:rsidRPr="00B23DEB">
        <w:rPr>
          <w:rFonts w:eastAsia="Times New Roman"/>
        </w:rPr>
        <w:instrText xml:space="preserve"> SEQ level0 \*arabic </w:instrText>
      </w:r>
      <w:r w:rsidRPr="00B23DEB">
        <w:rPr>
          <w:rFonts w:eastAsia="Times New Roman"/>
        </w:rPr>
        <w:fldChar w:fldCharType="separate"/>
      </w:r>
      <w:r w:rsidR="006549E3">
        <w:rPr>
          <w:rFonts w:eastAsia="Times New Roman"/>
          <w:noProof/>
        </w:rPr>
        <w:t>15</w:t>
      </w:r>
      <w:r w:rsidRPr="00B23DEB">
        <w:rPr>
          <w:rFonts w:eastAsia="Times New Roman"/>
        </w:rPr>
        <w:fldChar w:fldCharType="end"/>
      </w:r>
      <w:r w:rsidRPr="00B23DEB">
        <w:rPr>
          <w:rFonts w:eastAsia="Times New Roman"/>
        </w:rPr>
        <w:t xml:space="preserve">.  Absent detailed submissions, it is, of course not for the Court (nor for me in this separate opinion) to pre-judge this question but, consequently, it seems to me that the incomplete and </w:t>
      </w:r>
      <w:r w:rsidRPr="00B23DEB">
        <w:rPr>
          <w:rFonts w:eastAsia="Times New Roman"/>
          <w:i/>
        </w:rPr>
        <w:t xml:space="preserve">obiter </w:t>
      </w:r>
      <w:r w:rsidRPr="00B23DEB">
        <w:rPr>
          <w:rFonts w:eastAsia="Times New Roman"/>
        </w:rPr>
        <w:t>reference to the Article 2 obligations was inappropriate in the circumstance of this case and should not have been made.</w:t>
      </w:r>
    </w:p>
    <w:p w:rsidR="00A60113" w:rsidRPr="00B23DEB" w:rsidRDefault="00081BE4" w:rsidP="00B23DEB">
      <w:pPr>
        <w:pStyle w:val="OpiPara"/>
        <w:rPr>
          <w:rFonts w:eastAsia="Times New Roman"/>
        </w:rPr>
      </w:pPr>
      <w:r w:rsidRPr="00B23DEB">
        <w:rPr>
          <w:rFonts w:eastAsia="Times New Roman"/>
        </w:rPr>
        <w:fldChar w:fldCharType="begin"/>
      </w:r>
      <w:r w:rsidRPr="00B23DEB">
        <w:rPr>
          <w:rFonts w:eastAsia="Times New Roman"/>
        </w:rPr>
        <w:instrText xml:space="preserve"> SEQ level0 \*arabic </w:instrText>
      </w:r>
      <w:r w:rsidRPr="00B23DEB">
        <w:rPr>
          <w:rFonts w:eastAsia="Times New Roman"/>
        </w:rPr>
        <w:fldChar w:fldCharType="separate"/>
      </w:r>
      <w:r w:rsidR="006549E3">
        <w:rPr>
          <w:rFonts w:eastAsia="Times New Roman"/>
          <w:noProof/>
        </w:rPr>
        <w:t>16</w:t>
      </w:r>
      <w:r w:rsidRPr="00B23DEB">
        <w:rPr>
          <w:rFonts w:eastAsia="Times New Roman"/>
        </w:rPr>
        <w:fldChar w:fldCharType="end"/>
      </w:r>
      <w:r w:rsidRPr="00B23DEB">
        <w:rPr>
          <w:rFonts w:eastAsia="Times New Roman"/>
        </w:rPr>
        <w:t>.  Finally, I should make clea</w:t>
      </w:r>
      <w:r w:rsidR="007054C4" w:rsidRPr="00B23DEB">
        <w:rPr>
          <w:rFonts w:eastAsia="Times New Roman"/>
        </w:rPr>
        <w:t>r that reference to the Article </w:t>
      </w:r>
      <w:r w:rsidRPr="00B23DEB">
        <w:rPr>
          <w:rFonts w:eastAsia="Times New Roman"/>
        </w:rPr>
        <w:t xml:space="preserve">2 obligations of the Polish State made in the judgment </w:t>
      </w:r>
      <w:r w:rsidR="009D5E37" w:rsidRPr="00B23DEB">
        <w:rPr>
          <w:rFonts w:eastAsia="Times New Roman"/>
        </w:rPr>
        <w:t>and above assume that Article </w:t>
      </w:r>
      <w:r w:rsidRPr="00B23DEB">
        <w:rPr>
          <w:rFonts w:eastAsia="Times New Roman"/>
        </w:rPr>
        <w:t>2 does, in fact, impose a positive obligation on the Polish State to conduct an effective and expeditious investigation into a plane crash that occurred within the jurisdiction of another Council of Europe State, namely Russia.</w:t>
      </w:r>
      <w:r w:rsidR="00A60113" w:rsidRPr="00B23DEB">
        <w:rPr>
          <w:rFonts w:eastAsia="Times New Roman"/>
        </w:rPr>
        <w:t xml:space="preserve"> </w:t>
      </w:r>
      <w:r w:rsidRPr="00B23DEB">
        <w:rPr>
          <w:rFonts w:eastAsia="Times New Roman"/>
        </w:rPr>
        <w:t>This is, however, merely an assumption and does not reflect any (detailed) consideration and even less a decision that such an obligation, in fact, arises in relation to Poland under Article 2 of the Convention.</w:t>
      </w:r>
      <w:r w:rsidR="00A60113" w:rsidRPr="00B23DEB">
        <w:rPr>
          <w:rFonts w:eastAsia="Times New Roman"/>
        </w:rPr>
        <w:t xml:space="preserve"> </w:t>
      </w:r>
      <w:r w:rsidRPr="00B23DEB">
        <w:rPr>
          <w:rFonts w:eastAsia="Times New Roman"/>
        </w:rPr>
        <w:t>The relevant international law and its inter-play with the European Convention on Human Rights are clearly complex and would require careful consideration if the issue ever came up for decision before the Court.</w:t>
      </w:r>
    </w:p>
    <w:p w:rsidR="001D0FD5" w:rsidRPr="00B23DEB" w:rsidRDefault="00081BE4" w:rsidP="00B23DEB">
      <w:pPr>
        <w:pStyle w:val="OpiPara"/>
        <w:rPr>
          <w:rFonts w:eastAsia="Times New Roman"/>
        </w:rPr>
      </w:pPr>
      <w:r w:rsidRPr="00B23DEB">
        <w:rPr>
          <w:rFonts w:eastAsia="Times New Roman"/>
        </w:rPr>
        <w:fldChar w:fldCharType="begin"/>
      </w:r>
      <w:r w:rsidRPr="00B23DEB">
        <w:rPr>
          <w:rFonts w:eastAsia="Times New Roman"/>
        </w:rPr>
        <w:instrText xml:space="preserve"> SEQ level0 \*arabic </w:instrText>
      </w:r>
      <w:r w:rsidRPr="00B23DEB">
        <w:rPr>
          <w:rFonts w:eastAsia="Times New Roman"/>
        </w:rPr>
        <w:fldChar w:fldCharType="separate"/>
      </w:r>
      <w:r w:rsidR="006549E3">
        <w:rPr>
          <w:rFonts w:eastAsia="Times New Roman"/>
          <w:noProof/>
        </w:rPr>
        <w:t>17</w:t>
      </w:r>
      <w:r w:rsidRPr="00B23DEB">
        <w:rPr>
          <w:rFonts w:eastAsia="Times New Roman"/>
        </w:rPr>
        <w:fldChar w:fldCharType="end"/>
      </w:r>
      <w:r w:rsidRPr="00B23DEB">
        <w:rPr>
          <w:rFonts w:eastAsia="Times New Roman"/>
        </w:rPr>
        <w:t>.  That said, there can be no doubt about the legitimacy of the desire by the Polish State to conduct its own criminal investigations into what caused the plane crash and whether any person was criminally liable in relation thereto, even more so in context of this most tragic event and its continuing significance for the Polish government and for many Polish citizens. The only question is whether, as a matter of Convention law, such an investigation is required by Article 2 of the Convention.</w:t>
      </w:r>
    </w:p>
    <w:sectPr w:rsidR="001D0FD5" w:rsidRPr="00B23DEB" w:rsidSect="001D0FD5">
      <w:headerReference w:type="even" r:id="rId19"/>
      <w:headerReference w:type="default" r:id="rId20"/>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4E5" w:rsidRDefault="00F374E5">
      <w:r>
        <w:separator/>
      </w:r>
    </w:p>
  </w:endnote>
  <w:endnote w:type="continuationSeparator" w:id="0">
    <w:p w:rsidR="00F374E5" w:rsidRDefault="00F3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9E3" w:rsidRDefault="006549E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9E3" w:rsidRDefault="006549E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113" w:rsidRPr="00150BFA" w:rsidRDefault="00A60113" w:rsidP="00181422">
    <w:pPr>
      <w:jc w:val="center"/>
    </w:pPr>
    <w:r>
      <w:rPr>
        <w:noProof/>
        <w:lang w:val="en-US" w:eastAsia="ja-JP"/>
      </w:rPr>
      <w:drawing>
        <wp:inline distT="0" distB="0" distL="0" distR="0" wp14:anchorId="3E1D5D45" wp14:editId="078FE5E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A60113" w:rsidRDefault="00A60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4E5" w:rsidRPr="003152BA" w:rsidRDefault="00F374E5" w:rsidP="00C64785">
      <w:r w:rsidRPr="003152BA">
        <w:separator/>
      </w:r>
    </w:p>
  </w:footnote>
  <w:footnote w:type="continuationSeparator" w:id="0">
    <w:p w:rsidR="00F374E5" w:rsidRPr="003152BA" w:rsidRDefault="00F374E5" w:rsidP="00C64785">
      <w:r w:rsidRPr="003152B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9E3" w:rsidRDefault="006549E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113" w:rsidRPr="00181422" w:rsidRDefault="00A60113" w:rsidP="00181422">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113" w:rsidRPr="00A45145" w:rsidRDefault="00A60113" w:rsidP="00181422">
    <w:pPr>
      <w:jc w:val="center"/>
    </w:pPr>
    <w:r>
      <w:rPr>
        <w:noProof/>
        <w:lang w:val="en-US" w:eastAsia="ja-JP"/>
      </w:rPr>
      <w:drawing>
        <wp:inline distT="0" distB="0" distL="0" distR="0" wp14:anchorId="6C3BB802" wp14:editId="4A0F0AC7">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A60113" w:rsidRDefault="00A60113">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113" w:rsidRPr="007458A6" w:rsidRDefault="00A60113" w:rsidP="00C64785">
    <w:pPr>
      <w:pStyle w:val="ECHRHeader"/>
      <w:rPr>
        <w:lang w:val="pl-PL"/>
      </w:rPr>
    </w:pPr>
    <w:r>
      <w:rPr>
        <w:rStyle w:val="Numerstrony"/>
        <w:szCs w:val="18"/>
      </w:rPr>
      <w:fldChar w:fldCharType="begin"/>
    </w:r>
    <w:r w:rsidRPr="007458A6">
      <w:rPr>
        <w:rStyle w:val="Numerstrony"/>
        <w:szCs w:val="18"/>
        <w:lang w:val="pl-PL"/>
      </w:rPr>
      <w:instrText xml:space="preserve"> PAGE </w:instrText>
    </w:r>
    <w:r>
      <w:rPr>
        <w:rStyle w:val="Numerstrony"/>
        <w:szCs w:val="18"/>
      </w:rPr>
      <w:fldChar w:fldCharType="separate"/>
    </w:r>
    <w:r w:rsidR="00B23DEB">
      <w:rPr>
        <w:rStyle w:val="Numerstrony"/>
        <w:noProof/>
        <w:szCs w:val="18"/>
        <w:lang w:val="pl-PL"/>
      </w:rPr>
      <w:t>28</w:t>
    </w:r>
    <w:r>
      <w:rPr>
        <w:rStyle w:val="Numerstrony"/>
        <w:szCs w:val="18"/>
      </w:rPr>
      <w:fldChar w:fldCharType="end"/>
    </w:r>
    <w:r w:rsidRPr="007458A6">
      <w:rPr>
        <w:lang w:val="pl-PL"/>
      </w:rPr>
      <w:tab/>
      <w:t xml:space="preserve">SOLSKA AND RYBICKA v. POLAND </w:t>
    </w:r>
    <w:r>
      <w:rPr>
        <w:lang w:val="pl-PL"/>
      </w:rPr>
      <w:t>JUDGMENT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113" w:rsidRPr="007458A6" w:rsidRDefault="00A60113" w:rsidP="00C64785">
    <w:pPr>
      <w:pStyle w:val="ECHRHeader"/>
      <w:rPr>
        <w:lang w:val="pl-PL"/>
      </w:rPr>
    </w:pPr>
    <w:r w:rsidRPr="003152BA">
      <w:tab/>
    </w:r>
    <w:r w:rsidRPr="007458A6">
      <w:rPr>
        <w:lang w:val="pl-PL"/>
      </w:rPr>
      <w:t xml:space="preserve">SOLSKA AND RYBICKA v. POLAND </w:t>
    </w:r>
    <w:r>
      <w:rPr>
        <w:lang w:val="pl-PL"/>
      </w:rPr>
      <w:t>JUDGMENT</w:t>
    </w:r>
    <w:r w:rsidRPr="007458A6">
      <w:rPr>
        <w:lang w:val="pl-PL"/>
      </w:rPr>
      <w:tab/>
    </w:r>
    <w:r>
      <w:rPr>
        <w:rStyle w:val="Numerstrony"/>
        <w:szCs w:val="18"/>
      </w:rPr>
      <w:fldChar w:fldCharType="begin"/>
    </w:r>
    <w:r w:rsidRPr="007458A6">
      <w:rPr>
        <w:rStyle w:val="Numerstrony"/>
        <w:szCs w:val="18"/>
        <w:lang w:val="pl-PL"/>
      </w:rPr>
      <w:instrText xml:space="preserve"> PAGE </w:instrText>
    </w:r>
    <w:r>
      <w:rPr>
        <w:rStyle w:val="Numerstrony"/>
        <w:szCs w:val="18"/>
      </w:rPr>
      <w:fldChar w:fldCharType="separate"/>
    </w:r>
    <w:r w:rsidR="00B23DEB">
      <w:rPr>
        <w:rStyle w:val="Numerstrony"/>
        <w:noProof/>
        <w:szCs w:val="18"/>
        <w:lang w:val="pl-PL"/>
      </w:rPr>
      <w:t>29</w:t>
    </w:r>
    <w:r>
      <w:rPr>
        <w:rStyle w:val="Numerstrony"/>
        <w:szCs w:val="18"/>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113" w:rsidRPr="007458A6" w:rsidRDefault="00A60113" w:rsidP="001D0FD5">
    <w:pPr>
      <w:pStyle w:val="ECHRHeader"/>
      <w:tabs>
        <w:tab w:val="clear" w:pos="3686"/>
        <w:tab w:val="clear" w:pos="7371"/>
        <w:tab w:val="center" w:pos="3685"/>
      </w:tabs>
      <w:rPr>
        <w:lang w:val="pl-PL"/>
      </w:rPr>
    </w:pPr>
    <w:r>
      <w:rPr>
        <w:rStyle w:val="Numerstrony"/>
        <w:szCs w:val="18"/>
      </w:rPr>
      <w:fldChar w:fldCharType="begin"/>
    </w:r>
    <w:r w:rsidRPr="007458A6">
      <w:rPr>
        <w:rStyle w:val="Numerstrony"/>
        <w:szCs w:val="18"/>
        <w:lang w:val="pl-PL"/>
      </w:rPr>
      <w:instrText xml:space="preserve"> PAGE </w:instrText>
    </w:r>
    <w:r>
      <w:rPr>
        <w:rStyle w:val="Numerstrony"/>
        <w:szCs w:val="18"/>
      </w:rPr>
      <w:fldChar w:fldCharType="separate"/>
    </w:r>
    <w:r w:rsidR="00B23DEB">
      <w:rPr>
        <w:rStyle w:val="Numerstrony"/>
        <w:noProof/>
        <w:szCs w:val="18"/>
        <w:lang w:val="pl-PL"/>
      </w:rPr>
      <w:t>30</w:t>
    </w:r>
    <w:r>
      <w:rPr>
        <w:rStyle w:val="Numerstrony"/>
        <w:szCs w:val="18"/>
      </w:rPr>
      <w:fldChar w:fldCharType="end"/>
    </w:r>
    <w:r w:rsidRPr="007458A6">
      <w:rPr>
        <w:lang w:val="pl-PL"/>
      </w:rPr>
      <w:tab/>
      <w:t xml:space="preserve">SOLSKA AND RYBICKA v. POLAND </w:t>
    </w:r>
    <w:r>
      <w:rPr>
        <w:lang w:val="pl-PL"/>
      </w:rPr>
      <w:t>JUDGMENT - SEPARATE OPINION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113" w:rsidRPr="007458A6" w:rsidRDefault="00A60113" w:rsidP="001D0FD5">
    <w:pPr>
      <w:pStyle w:val="ECHRHeader"/>
      <w:tabs>
        <w:tab w:val="clear" w:pos="3686"/>
        <w:tab w:val="clear" w:pos="7371"/>
        <w:tab w:val="center" w:pos="3685"/>
        <w:tab w:val="right" w:pos="7370"/>
      </w:tabs>
      <w:rPr>
        <w:lang w:val="pl-PL"/>
      </w:rPr>
    </w:pPr>
    <w:r w:rsidRPr="003152BA">
      <w:tab/>
    </w:r>
    <w:r w:rsidRPr="007458A6">
      <w:rPr>
        <w:lang w:val="pl-PL"/>
      </w:rPr>
      <w:t xml:space="preserve">SOLSKA AND RYBICKA v. POLAND </w:t>
    </w:r>
    <w:r>
      <w:rPr>
        <w:lang w:val="pl-PL"/>
      </w:rPr>
      <w:t>JUDGMENT - SEPARATE OPINION</w:t>
    </w:r>
    <w:r w:rsidRPr="007458A6">
      <w:rPr>
        <w:lang w:val="pl-PL"/>
      </w:rPr>
      <w:tab/>
    </w:r>
    <w:r>
      <w:rPr>
        <w:rStyle w:val="Numerstrony"/>
        <w:szCs w:val="18"/>
      </w:rPr>
      <w:fldChar w:fldCharType="begin"/>
    </w:r>
    <w:r w:rsidRPr="007458A6">
      <w:rPr>
        <w:rStyle w:val="Numerstrony"/>
        <w:szCs w:val="18"/>
        <w:lang w:val="pl-PL"/>
      </w:rPr>
      <w:instrText xml:space="preserve"> PAGE </w:instrText>
    </w:r>
    <w:r>
      <w:rPr>
        <w:rStyle w:val="Numerstrony"/>
        <w:szCs w:val="18"/>
      </w:rPr>
      <w:fldChar w:fldCharType="separate"/>
    </w:r>
    <w:r w:rsidR="00B23DEB">
      <w:rPr>
        <w:rStyle w:val="Numerstrony"/>
        <w:noProof/>
        <w:szCs w:val="18"/>
        <w:lang w:val="pl-PL"/>
      </w:rPr>
      <w:t>31</w:t>
    </w:r>
    <w:r>
      <w:rPr>
        <w:rStyle w:val="Numerstrony"/>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180FE6"/>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anumerowana"/>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tplc="D938C0BC">
      <w:start w:val="1"/>
      <w:numFmt w:val="bullet"/>
      <w:pStyle w:val="Listapunktowana"/>
      <w:lvlText w:val=""/>
      <w:lvlJc w:val="left"/>
      <w:pPr>
        <w:tabs>
          <w:tab w:val="num" w:pos="851"/>
        </w:tabs>
        <w:ind w:left="568" w:firstLine="0"/>
      </w:pPr>
      <w:rPr>
        <w:rFonts w:ascii="Wingdings" w:hAnsi="Wingdings" w:hint="default"/>
        <w:color w:val="808080"/>
        <w:sz w:val="16"/>
      </w:rPr>
    </w:lvl>
    <w:lvl w:ilvl="1" w:tplc="86866C2C" w:tentative="1">
      <w:start w:val="1"/>
      <w:numFmt w:val="bullet"/>
      <w:lvlText w:val="o"/>
      <w:lvlJc w:val="left"/>
      <w:pPr>
        <w:tabs>
          <w:tab w:val="num" w:pos="1724"/>
        </w:tabs>
        <w:ind w:left="1724" w:hanging="360"/>
      </w:pPr>
      <w:rPr>
        <w:rFonts w:ascii="Courier New" w:hAnsi="Courier New" w:cs="Courier New" w:hint="default"/>
      </w:rPr>
    </w:lvl>
    <w:lvl w:ilvl="2" w:tplc="4FFAA9EE" w:tentative="1">
      <w:start w:val="1"/>
      <w:numFmt w:val="bullet"/>
      <w:lvlText w:val=""/>
      <w:lvlJc w:val="left"/>
      <w:pPr>
        <w:tabs>
          <w:tab w:val="num" w:pos="2444"/>
        </w:tabs>
        <w:ind w:left="2444" w:hanging="360"/>
      </w:pPr>
      <w:rPr>
        <w:rFonts w:ascii="Wingdings" w:hAnsi="Wingdings" w:hint="default"/>
      </w:rPr>
    </w:lvl>
    <w:lvl w:ilvl="3" w:tplc="A126A41C" w:tentative="1">
      <w:start w:val="1"/>
      <w:numFmt w:val="bullet"/>
      <w:lvlText w:val=""/>
      <w:lvlJc w:val="left"/>
      <w:pPr>
        <w:tabs>
          <w:tab w:val="num" w:pos="3164"/>
        </w:tabs>
        <w:ind w:left="3164" w:hanging="360"/>
      </w:pPr>
      <w:rPr>
        <w:rFonts w:ascii="Symbol" w:hAnsi="Symbol" w:hint="default"/>
      </w:rPr>
    </w:lvl>
    <w:lvl w:ilvl="4" w:tplc="5080B148" w:tentative="1">
      <w:start w:val="1"/>
      <w:numFmt w:val="bullet"/>
      <w:lvlText w:val="o"/>
      <w:lvlJc w:val="left"/>
      <w:pPr>
        <w:tabs>
          <w:tab w:val="num" w:pos="3884"/>
        </w:tabs>
        <w:ind w:left="3884" w:hanging="360"/>
      </w:pPr>
      <w:rPr>
        <w:rFonts w:ascii="Courier New" w:hAnsi="Courier New" w:cs="Courier New" w:hint="default"/>
      </w:rPr>
    </w:lvl>
    <w:lvl w:ilvl="5" w:tplc="8A0A0312" w:tentative="1">
      <w:start w:val="1"/>
      <w:numFmt w:val="bullet"/>
      <w:lvlText w:val=""/>
      <w:lvlJc w:val="left"/>
      <w:pPr>
        <w:tabs>
          <w:tab w:val="num" w:pos="4604"/>
        </w:tabs>
        <w:ind w:left="4604" w:hanging="360"/>
      </w:pPr>
      <w:rPr>
        <w:rFonts w:ascii="Wingdings" w:hAnsi="Wingdings" w:hint="default"/>
      </w:rPr>
    </w:lvl>
    <w:lvl w:ilvl="6" w:tplc="311417D2" w:tentative="1">
      <w:start w:val="1"/>
      <w:numFmt w:val="bullet"/>
      <w:lvlText w:val=""/>
      <w:lvlJc w:val="left"/>
      <w:pPr>
        <w:tabs>
          <w:tab w:val="num" w:pos="5324"/>
        </w:tabs>
        <w:ind w:left="5324" w:hanging="360"/>
      </w:pPr>
      <w:rPr>
        <w:rFonts w:ascii="Symbol" w:hAnsi="Symbol" w:hint="default"/>
      </w:rPr>
    </w:lvl>
    <w:lvl w:ilvl="7" w:tplc="588C6F74" w:tentative="1">
      <w:start w:val="1"/>
      <w:numFmt w:val="bullet"/>
      <w:lvlText w:val="o"/>
      <w:lvlJc w:val="left"/>
      <w:pPr>
        <w:tabs>
          <w:tab w:val="num" w:pos="6044"/>
        </w:tabs>
        <w:ind w:left="6044" w:hanging="360"/>
      </w:pPr>
      <w:rPr>
        <w:rFonts w:ascii="Courier New" w:hAnsi="Courier New" w:cs="Courier New" w:hint="default"/>
      </w:rPr>
    </w:lvl>
    <w:lvl w:ilvl="8" w:tplc="4F5ABD72"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37461D"/>
    <w:multiLevelType w:val="multilevel"/>
    <w:tmpl w:val="040C0023"/>
    <w:styleLink w:val="Artykusekcj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MM" w:val="0"/>
    <w:docVar w:name="NBEMMDOC" w:val="0"/>
  </w:docVars>
  <w:rsids>
    <w:rsidRoot w:val="00E941D8"/>
    <w:rsid w:val="00000553"/>
    <w:rsid w:val="0000078C"/>
    <w:rsid w:val="000010A3"/>
    <w:rsid w:val="00003D8C"/>
    <w:rsid w:val="00006934"/>
    <w:rsid w:val="000102C3"/>
    <w:rsid w:val="00010ACA"/>
    <w:rsid w:val="000119FA"/>
    <w:rsid w:val="00011FA0"/>
    <w:rsid w:val="00014AB3"/>
    <w:rsid w:val="00015D3D"/>
    <w:rsid w:val="00017CF4"/>
    <w:rsid w:val="00021007"/>
    <w:rsid w:val="00021337"/>
    <w:rsid w:val="00021623"/>
    <w:rsid w:val="00021B30"/>
    <w:rsid w:val="000224BB"/>
    <w:rsid w:val="000225E6"/>
    <w:rsid w:val="00022765"/>
    <w:rsid w:val="000273A9"/>
    <w:rsid w:val="00031A85"/>
    <w:rsid w:val="00033298"/>
    <w:rsid w:val="00034644"/>
    <w:rsid w:val="00034F21"/>
    <w:rsid w:val="000375A9"/>
    <w:rsid w:val="00037937"/>
    <w:rsid w:val="00037FC3"/>
    <w:rsid w:val="000400CA"/>
    <w:rsid w:val="00042365"/>
    <w:rsid w:val="000434BC"/>
    <w:rsid w:val="0004397D"/>
    <w:rsid w:val="00044494"/>
    <w:rsid w:val="000459F1"/>
    <w:rsid w:val="00045CC4"/>
    <w:rsid w:val="00045EF1"/>
    <w:rsid w:val="00050123"/>
    <w:rsid w:val="00050676"/>
    <w:rsid w:val="00050BAE"/>
    <w:rsid w:val="00054097"/>
    <w:rsid w:val="00054352"/>
    <w:rsid w:val="000558CD"/>
    <w:rsid w:val="00055B4C"/>
    <w:rsid w:val="00055BC1"/>
    <w:rsid w:val="00057A78"/>
    <w:rsid w:val="000623FC"/>
    <w:rsid w:val="00064749"/>
    <w:rsid w:val="00064E94"/>
    <w:rsid w:val="00065EFB"/>
    <w:rsid w:val="00067E92"/>
    <w:rsid w:val="00071CD3"/>
    <w:rsid w:val="00073CC7"/>
    <w:rsid w:val="0007715A"/>
    <w:rsid w:val="00080D0F"/>
    <w:rsid w:val="00081BE4"/>
    <w:rsid w:val="00082650"/>
    <w:rsid w:val="00082879"/>
    <w:rsid w:val="00085D73"/>
    <w:rsid w:val="00087127"/>
    <w:rsid w:val="00087227"/>
    <w:rsid w:val="00087305"/>
    <w:rsid w:val="000925E9"/>
    <w:rsid w:val="00094098"/>
    <w:rsid w:val="00096B30"/>
    <w:rsid w:val="00097690"/>
    <w:rsid w:val="00097891"/>
    <w:rsid w:val="000A43BC"/>
    <w:rsid w:val="000A4C3F"/>
    <w:rsid w:val="000A57DE"/>
    <w:rsid w:val="000B0921"/>
    <w:rsid w:val="000B5944"/>
    <w:rsid w:val="000B5FD9"/>
    <w:rsid w:val="000B7781"/>
    <w:rsid w:val="000C1218"/>
    <w:rsid w:val="000C1E39"/>
    <w:rsid w:val="000C227A"/>
    <w:rsid w:val="000C34BC"/>
    <w:rsid w:val="000C3696"/>
    <w:rsid w:val="000C3F0B"/>
    <w:rsid w:val="000C48C3"/>
    <w:rsid w:val="000C4E50"/>
    <w:rsid w:val="000C520C"/>
    <w:rsid w:val="000C6C4F"/>
    <w:rsid w:val="000D02DE"/>
    <w:rsid w:val="000D04B4"/>
    <w:rsid w:val="000D1266"/>
    <w:rsid w:val="000D1DEF"/>
    <w:rsid w:val="000D2BD2"/>
    <w:rsid w:val="000D32D7"/>
    <w:rsid w:val="000D36E2"/>
    <w:rsid w:val="000D3E82"/>
    <w:rsid w:val="000D76C4"/>
    <w:rsid w:val="000D7F8D"/>
    <w:rsid w:val="000E23A6"/>
    <w:rsid w:val="000E565A"/>
    <w:rsid w:val="000E611B"/>
    <w:rsid w:val="000E6BEE"/>
    <w:rsid w:val="000E7C8C"/>
    <w:rsid w:val="000F3515"/>
    <w:rsid w:val="000F3D21"/>
    <w:rsid w:val="000F591E"/>
    <w:rsid w:val="000F65AA"/>
    <w:rsid w:val="000F67A7"/>
    <w:rsid w:val="000F6C8E"/>
    <w:rsid w:val="000F72F1"/>
    <w:rsid w:val="00100B10"/>
    <w:rsid w:val="001020DA"/>
    <w:rsid w:val="00102510"/>
    <w:rsid w:val="00102F8F"/>
    <w:rsid w:val="00104BB0"/>
    <w:rsid w:val="00105BAB"/>
    <w:rsid w:val="00107225"/>
    <w:rsid w:val="00107A13"/>
    <w:rsid w:val="00110FA6"/>
    <w:rsid w:val="00110FB4"/>
    <w:rsid w:val="0011122F"/>
    <w:rsid w:val="001147D8"/>
    <w:rsid w:val="00115B1F"/>
    <w:rsid w:val="00116073"/>
    <w:rsid w:val="00117469"/>
    <w:rsid w:val="00121B4B"/>
    <w:rsid w:val="00121FD5"/>
    <w:rsid w:val="00126178"/>
    <w:rsid w:val="00126ABD"/>
    <w:rsid w:val="00130B06"/>
    <w:rsid w:val="00131CE0"/>
    <w:rsid w:val="001326B5"/>
    <w:rsid w:val="001332C0"/>
    <w:rsid w:val="001334D2"/>
    <w:rsid w:val="00133CA9"/>
    <w:rsid w:val="001354D4"/>
    <w:rsid w:val="0014115C"/>
    <w:rsid w:val="00142F74"/>
    <w:rsid w:val="00143397"/>
    <w:rsid w:val="0014441C"/>
    <w:rsid w:val="00145555"/>
    <w:rsid w:val="00146E3A"/>
    <w:rsid w:val="0015163C"/>
    <w:rsid w:val="001524CC"/>
    <w:rsid w:val="00152B7E"/>
    <w:rsid w:val="001563A5"/>
    <w:rsid w:val="00156439"/>
    <w:rsid w:val="0015665B"/>
    <w:rsid w:val="00156E77"/>
    <w:rsid w:val="00164075"/>
    <w:rsid w:val="001651E9"/>
    <w:rsid w:val="0016575F"/>
    <w:rsid w:val="00166F97"/>
    <w:rsid w:val="001674C2"/>
    <w:rsid w:val="0017069E"/>
    <w:rsid w:val="0017094B"/>
    <w:rsid w:val="00177F00"/>
    <w:rsid w:val="00181422"/>
    <w:rsid w:val="0018194D"/>
    <w:rsid w:val="0018222C"/>
    <w:rsid w:val="00185035"/>
    <w:rsid w:val="001851DA"/>
    <w:rsid w:val="001873EF"/>
    <w:rsid w:val="001926CA"/>
    <w:rsid w:val="00192FB6"/>
    <w:rsid w:val="001956D0"/>
    <w:rsid w:val="001A16EA"/>
    <w:rsid w:val="001A216E"/>
    <w:rsid w:val="001A22BD"/>
    <w:rsid w:val="001A5302"/>
    <w:rsid w:val="001A6C79"/>
    <w:rsid w:val="001A713D"/>
    <w:rsid w:val="001B1967"/>
    <w:rsid w:val="001B2A4D"/>
    <w:rsid w:val="001B589A"/>
    <w:rsid w:val="001B6992"/>
    <w:rsid w:val="001B7DE7"/>
    <w:rsid w:val="001C0970"/>
    <w:rsid w:val="001C0FD7"/>
    <w:rsid w:val="001C14E2"/>
    <w:rsid w:val="001C25CA"/>
    <w:rsid w:val="001C2D1E"/>
    <w:rsid w:val="001C6BD5"/>
    <w:rsid w:val="001C6C58"/>
    <w:rsid w:val="001D034C"/>
    <w:rsid w:val="001D0514"/>
    <w:rsid w:val="001D05C5"/>
    <w:rsid w:val="001D0FD5"/>
    <w:rsid w:val="001D11DD"/>
    <w:rsid w:val="001D2C8D"/>
    <w:rsid w:val="001D34AE"/>
    <w:rsid w:val="001D6AC5"/>
    <w:rsid w:val="001D6DFD"/>
    <w:rsid w:val="001D774D"/>
    <w:rsid w:val="001E0B79"/>
    <w:rsid w:val="001E51AF"/>
    <w:rsid w:val="001F0CD1"/>
    <w:rsid w:val="001F0D62"/>
    <w:rsid w:val="001F11B3"/>
    <w:rsid w:val="001F2A9A"/>
    <w:rsid w:val="001F52C5"/>
    <w:rsid w:val="001F6BF6"/>
    <w:rsid w:val="002012BF"/>
    <w:rsid w:val="002018CF"/>
    <w:rsid w:val="0020250A"/>
    <w:rsid w:val="00203D1D"/>
    <w:rsid w:val="00203F1C"/>
    <w:rsid w:val="00204BC3"/>
    <w:rsid w:val="0020532F"/>
    <w:rsid w:val="00210AD0"/>
    <w:rsid w:val="002134E0"/>
    <w:rsid w:val="00216EAE"/>
    <w:rsid w:val="002177DF"/>
    <w:rsid w:val="00220F53"/>
    <w:rsid w:val="002227B7"/>
    <w:rsid w:val="00222A79"/>
    <w:rsid w:val="00223B09"/>
    <w:rsid w:val="00226C36"/>
    <w:rsid w:val="002328F1"/>
    <w:rsid w:val="00232D9E"/>
    <w:rsid w:val="00236DA1"/>
    <w:rsid w:val="00237E5F"/>
    <w:rsid w:val="002404A8"/>
    <w:rsid w:val="00242111"/>
    <w:rsid w:val="00244841"/>
    <w:rsid w:val="00247C0D"/>
    <w:rsid w:val="00251748"/>
    <w:rsid w:val="002518EE"/>
    <w:rsid w:val="00252015"/>
    <w:rsid w:val="002541B8"/>
    <w:rsid w:val="00254A7C"/>
    <w:rsid w:val="0025669F"/>
    <w:rsid w:val="00257C5E"/>
    <w:rsid w:val="00262433"/>
    <w:rsid w:val="002625CC"/>
    <w:rsid w:val="00263FB4"/>
    <w:rsid w:val="00264043"/>
    <w:rsid w:val="00265616"/>
    <w:rsid w:val="002669E9"/>
    <w:rsid w:val="002671BC"/>
    <w:rsid w:val="002678E9"/>
    <w:rsid w:val="00272097"/>
    <w:rsid w:val="00272EDE"/>
    <w:rsid w:val="00277B37"/>
    <w:rsid w:val="0028005F"/>
    <w:rsid w:val="00282900"/>
    <w:rsid w:val="0028491C"/>
    <w:rsid w:val="00284ED3"/>
    <w:rsid w:val="00285541"/>
    <w:rsid w:val="00285651"/>
    <w:rsid w:val="00291115"/>
    <w:rsid w:val="002916EE"/>
    <w:rsid w:val="00291E9D"/>
    <w:rsid w:val="00293004"/>
    <w:rsid w:val="002941C3"/>
    <w:rsid w:val="00294FDE"/>
    <w:rsid w:val="002974CA"/>
    <w:rsid w:val="002A2370"/>
    <w:rsid w:val="002A24F1"/>
    <w:rsid w:val="002A26CD"/>
    <w:rsid w:val="002A32CB"/>
    <w:rsid w:val="002A7F5F"/>
    <w:rsid w:val="002B0C67"/>
    <w:rsid w:val="002B4B51"/>
    <w:rsid w:val="002B5D29"/>
    <w:rsid w:val="002B751D"/>
    <w:rsid w:val="002B7DD6"/>
    <w:rsid w:val="002C005C"/>
    <w:rsid w:val="002C258F"/>
    <w:rsid w:val="002C4ED3"/>
    <w:rsid w:val="002C673A"/>
    <w:rsid w:val="002D2175"/>
    <w:rsid w:val="002D2974"/>
    <w:rsid w:val="002D354A"/>
    <w:rsid w:val="002D371C"/>
    <w:rsid w:val="002D4CC4"/>
    <w:rsid w:val="002D561B"/>
    <w:rsid w:val="002D753C"/>
    <w:rsid w:val="002E0FF9"/>
    <w:rsid w:val="002E1821"/>
    <w:rsid w:val="002E1E0B"/>
    <w:rsid w:val="002E23A6"/>
    <w:rsid w:val="002E3433"/>
    <w:rsid w:val="002E505C"/>
    <w:rsid w:val="002E6FB3"/>
    <w:rsid w:val="002F0174"/>
    <w:rsid w:val="002F09CC"/>
    <w:rsid w:val="002F10F8"/>
    <w:rsid w:val="002F2172"/>
    <w:rsid w:val="002F3CF2"/>
    <w:rsid w:val="002F4E5E"/>
    <w:rsid w:val="002F4F84"/>
    <w:rsid w:val="002F58CB"/>
    <w:rsid w:val="002F7638"/>
    <w:rsid w:val="002F79B5"/>
    <w:rsid w:val="00300A84"/>
    <w:rsid w:val="00300DAB"/>
    <w:rsid w:val="003020BD"/>
    <w:rsid w:val="00303EF5"/>
    <w:rsid w:val="0030463B"/>
    <w:rsid w:val="003053EB"/>
    <w:rsid w:val="00305B88"/>
    <w:rsid w:val="0030789E"/>
    <w:rsid w:val="003113A3"/>
    <w:rsid w:val="003130DF"/>
    <w:rsid w:val="00314A9B"/>
    <w:rsid w:val="00324853"/>
    <w:rsid w:val="0032509A"/>
    <w:rsid w:val="003256C9"/>
    <w:rsid w:val="003275F3"/>
    <w:rsid w:val="00327D14"/>
    <w:rsid w:val="00327DF9"/>
    <w:rsid w:val="003303EC"/>
    <w:rsid w:val="0033243D"/>
    <w:rsid w:val="003362AD"/>
    <w:rsid w:val="00336A29"/>
    <w:rsid w:val="00336ED3"/>
    <w:rsid w:val="00337024"/>
    <w:rsid w:val="00340A47"/>
    <w:rsid w:val="00340E98"/>
    <w:rsid w:val="0034119B"/>
    <w:rsid w:val="0035031A"/>
    <w:rsid w:val="003508C1"/>
    <w:rsid w:val="00352831"/>
    <w:rsid w:val="0035308A"/>
    <w:rsid w:val="003534DA"/>
    <w:rsid w:val="00355259"/>
    <w:rsid w:val="00356000"/>
    <w:rsid w:val="00356760"/>
    <w:rsid w:val="00356934"/>
    <w:rsid w:val="00363855"/>
    <w:rsid w:val="0036468E"/>
    <w:rsid w:val="00365FB4"/>
    <w:rsid w:val="00370CA4"/>
    <w:rsid w:val="003715F7"/>
    <w:rsid w:val="00371667"/>
    <w:rsid w:val="003718A6"/>
    <w:rsid w:val="00373A95"/>
    <w:rsid w:val="0037585A"/>
    <w:rsid w:val="00377078"/>
    <w:rsid w:val="0038003D"/>
    <w:rsid w:val="0038098C"/>
    <w:rsid w:val="0038389B"/>
    <w:rsid w:val="00385105"/>
    <w:rsid w:val="00385823"/>
    <w:rsid w:val="003858DF"/>
    <w:rsid w:val="003870E6"/>
    <w:rsid w:val="00392417"/>
    <w:rsid w:val="003939FD"/>
    <w:rsid w:val="00395130"/>
    <w:rsid w:val="0039660B"/>
    <w:rsid w:val="00396690"/>
    <w:rsid w:val="003979AA"/>
    <w:rsid w:val="003A1041"/>
    <w:rsid w:val="003A30E6"/>
    <w:rsid w:val="003A3D1B"/>
    <w:rsid w:val="003B419C"/>
    <w:rsid w:val="003B6992"/>
    <w:rsid w:val="003B71FE"/>
    <w:rsid w:val="003C12A9"/>
    <w:rsid w:val="003C2CB8"/>
    <w:rsid w:val="003C5676"/>
    <w:rsid w:val="003C6119"/>
    <w:rsid w:val="003C676A"/>
    <w:rsid w:val="003C7F23"/>
    <w:rsid w:val="003D083E"/>
    <w:rsid w:val="003D2047"/>
    <w:rsid w:val="003D21D7"/>
    <w:rsid w:val="003D2345"/>
    <w:rsid w:val="003D4DAB"/>
    <w:rsid w:val="003D4DEE"/>
    <w:rsid w:val="003D6C8A"/>
    <w:rsid w:val="003D7204"/>
    <w:rsid w:val="003E4A4F"/>
    <w:rsid w:val="003E6A7C"/>
    <w:rsid w:val="003E6B48"/>
    <w:rsid w:val="003E6DF3"/>
    <w:rsid w:val="003F0BC3"/>
    <w:rsid w:val="003F19AF"/>
    <w:rsid w:val="003F2595"/>
    <w:rsid w:val="003F61F6"/>
    <w:rsid w:val="003F62AB"/>
    <w:rsid w:val="003F67A1"/>
    <w:rsid w:val="003F7717"/>
    <w:rsid w:val="004000AB"/>
    <w:rsid w:val="0040012E"/>
    <w:rsid w:val="00400E8C"/>
    <w:rsid w:val="004013C1"/>
    <w:rsid w:val="00401699"/>
    <w:rsid w:val="00402900"/>
    <w:rsid w:val="00404F13"/>
    <w:rsid w:val="00406DEB"/>
    <w:rsid w:val="004071E3"/>
    <w:rsid w:val="0041237B"/>
    <w:rsid w:val="004205DF"/>
    <w:rsid w:val="00423144"/>
    <w:rsid w:val="004239F5"/>
    <w:rsid w:val="00423FFC"/>
    <w:rsid w:val="004300A5"/>
    <w:rsid w:val="004314C7"/>
    <w:rsid w:val="00435FC4"/>
    <w:rsid w:val="00440726"/>
    <w:rsid w:val="00441159"/>
    <w:rsid w:val="0044137E"/>
    <w:rsid w:val="00441454"/>
    <w:rsid w:val="0044245E"/>
    <w:rsid w:val="00442617"/>
    <w:rsid w:val="00442A30"/>
    <w:rsid w:val="00445DAD"/>
    <w:rsid w:val="004461EA"/>
    <w:rsid w:val="00450BDE"/>
    <w:rsid w:val="00452B6A"/>
    <w:rsid w:val="00454179"/>
    <w:rsid w:val="00454AE8"/>
    <w:rsid w:val="00454E49"/>
    <w:rsid w:val="00454EBA"/>
    <w:rsid w:val="004550C7"/>
    <w:rsid w:val="004568B6"/>
    <w:rsid w:val="00456C1A"/>
    <w:rsid w:val="00456F88"/>
    <w:rsid w:val="004643FA"/>
    <w:rsid w:val="00465676"/>
    <w:rsid w:val="00470B7B"/>
    <w:rsid w:val="00470DA4"/>
    <w:rsid w:val="004714F4"/>
    <w:rsid w:val="00473634"/>
    <w:rsid w:val="0047394D"/>
    <w:rsid w:val="00473A49"/>
    <w:rsid w:val="004755BF"/>
    <w:rsid w:val="00475CE1"/>
    <w:rsid w:val="00476347"/>
    <w:rsid w:val="00477C8D"/>
    <w:rsid w:val="00481CC5"/>
    <w:rsid w:val="00482424"/>
    <w:rsid w:val="00482594"/>
    <w:rsid w:val="00482D6A"/>
    <w:rsid w:val="004833C2"/>
    <w:rsid w:val="0048428F"/>
    <w:rsid w:val="0048499B"/>
    <w:rsid w:val="00484E51"/>
    <w:rsid w:val="004853DE"/>
    <w:rsid w:val="004869E7"/>
    <w:rsid w:val="00486C7F"/>
    <w:rsid w:val="004873AA"/>
    <w:rsid w:val="00491AB0"/>
    <w:rsid w:val="004934FB"/>
    <w:rsid w:val="00493985"/>
    <w:rsid w:val="004939A9"/>
    <w:rsid w:val="00495BF5"/>
    <w:rsid w:val="00497C0F"/>
    <w:rsid w:val="004A1C93"/>
    <w:rsid w:val="004A5F5E"/>
    <w:rsid w:val="004A614C"/>
    <w:rsid w:val="004B01AD"/>
    <w:rsid w:val="004B125C"/>
    <w:rsid w:val="004B20DC"/>
    <w:rsid w:val="004B2743"/>
    <w:rsid w:val="004B27E4"/>
    <w:rsid w:val="004B4ADB"/>
    <w:rsid w:val="004B4B6A"/>
    <w:rsid w:val="004B4C3E"/>
    <w:rsid w:val="004B53BF"/>
    <w:rsid w:val="004B616D"/>
    <w:rsid w:val="004C161E"/>
    <w:rsid w:val="004C73D3"/>
    <w:rsid w:val="004D0B3A"/>
    <w:rsid w:val="004D3D17"/>
    <w:rsid w:val="004D4077"/>
    <w:rsid w:val="004E10DA"/>
    <w:rsid w:val="004E23FB"/>
    <w:rsid w:val="004E4CF0"/>
    <w:rsid w:val="004E52A7"/>
    <w:rsid w:val="004E7091"/>
    <w:rsid w:val="004E784C"/>
    <w:rsid w:val="004F18EB"/>
    <w:rsid w:val="004F4133"/>
    <w:rsid w:val="004F727A"/>
    <w:rsid w:val="004F79C0"/>
    <w:rsid w:val="005037F9"/>
    <w:rsid w:val="00503A47"/>
    <w:rsid w:val="00503D98"/>
    <w:rsid w:val="00505211"/>
    <w:rsid w:val="00507530"/>
    <w:rsid w:val="00507F87"/>
    <w:rsid w:val="00510104"/>
    <w:rsid w:val="00510FA0"/>
    <w:rsid w:val="00511357"/>
    <w:rsid w:val="00513B76"/>
    <w:rsid w:val="00514A75"/>
    <w:rsid w:val="005158D3"/>
    <w:rsid w:val="0052226C"/>
    <w:rsid w:val="00523975"/>
    <w:rsid w:val="005250BA"/>
    <w:rsid w:val="005258B5"/>
    <w:rsid w:val="00532562"/>
    <w:rsid w:val="005348C4"/>
    <w:rsid w:val="00536034"/>
    <w:rsid w:val="00537DCF"/>
    <w:rsid w:val="00542D8E"/>
    <w:rsid w:val="00544F6C"/>
    <w:rsid w:val="00545030"/>
    <w:rsid w:val="00545DA4"/>
    <w:rsid w:val="00545F29"/>
    <w:rsid w:val="00547830"/>
    <w:rsid w:val="005502EF"/>
    <w:rsid w:val="005516A3"/>
    <w:rsid w:val="00551EA9"/>
    <w:rsid w:val="005539A7"/>
    <w:rsid w:val="0055412E"/>
    <w:rsid w:val="00554A9D"/>
    <w:rsid w:val="00555C8B"/>
    <w:rsid w:val="0055771C"/>
    <w:rsid w:val="00557F65"/>
    <w:rsid w:val="005634D0"/>
    <w:rsid w:val="00566BAA"/>
    <w:rsid w:val="0056776E"/>
    <w:rsid w:val="00567912"/>
    <w:rsid w:val="0057057C"/>
    <w:rsid w:val="005707FE"/>
    <w:rsid w:val="0057378D"/>
    <w:rsid w:val="00573891"/>
    <w:rsid w:val="005744C3"/>
    <w:rsid w:val="0057516D"/>
    <w:rsid w:val="005802EB"/>
    <w:rsid w:val="005828D8"/>
    <w:rsid w:val="00582E3F"/>
    <w:rsid w:val="005854B1"/>
    <w:rsid w:val="005864EA"/>
    <w:rsid w:val="00587798"/>
    <w:rsid w:val="00591C9F"/>
    <w:rsid w:val="00592702"/>
    <w:rsid w:val="005932EB"/>
    <w:rsid w:val="00597CAE"/>
    <w:rsid w:val="00597DC6"/>
    <w:rsid w:val="005A03E8"/>
    <w:rsid w:val="005A0400"/>
    <w:rsid w:val="005A4B9F"/>
    <w:rsid w:val="005A6879"/>
    <w:rsid w:val="005B244C"/>
    <w:rsid w:val="005B59DB"/>
    <w:rsid w:val="005B5C30"/>
    <w:rsid w:val="005B7CC6"/>
    <w:rsid w:val="005C10AF"/>
    <w:rsid w:val="005C116B"/>
    <w:rsid w:val="005C1B21"/>
    <w:rsid w:val="005C2985"/>
    <w:rsid w:val="005C40DB"/>
    <w:rsid w:val="005C7495"/>
    <w:rsid w:val="005C7D3E"/>
    <w:rsid w:val="005C7EBC"/>
    <w:rsid w:val="005D1760"/>
    <w:rsid w:val="005D213F"/>
    <w:rsid w:val="005D248A"/>
    <w:rsid w:val="005D555A"/>
    <w:rsid w:val="005D694D"/>
    <w:rsid w:val="005E0A95"/>
    <w:rsid w:val="005E3FD1"/>
    <w:rsid w:val="005E61A4"/>
    <w:rsid w:val="005E6933"/>
    <w:rsid w:val="005F0860"/>
    <w:rsid w:val="005F2985"/>
    <w:rsid w:val="005F3177"/>
    <w:rsid w:val="005F5038"/>
    <w:rsid w:val="005F687A"/>
    <w:rsid w:val="0060377A"/>
    <w:rsid w:val="00603C68"/>
    <w:rsid w:val="00604752"/>
    <w:rsid w:val="006074A3"/>
    <w:rsid w:val="0060777F"/>
    <w:rsid w:val="00610FFB"/>
    <w:rsid w:val="00613EDC"/>
    <w:rsid w:val="00614F23"/>
    <w:rsid w:val="00615E83"/>
    <w:rsid w:val="0061684B"/>
    <w:rsid w:val="006204FC"/>
    <w:rsid w:val="006209AF"/>
    <w:rsid w:val="00622D42"/>
    <w:rsid w:val="00622D8B"/>
    <w:rsid w:val="0062423A"/>
    <w:rsid w:val="00625116"/>
    <w:rsid w:val="00626B56"/>
    <w:rsid w:val="00630364"/>
    <w:rsid w:val="00630400"/>
    <w:rsid w:val="00635467"/>
    <w:rsid w:val="006360E3"/>
    <w:rsid w:val="00636872"/>
    <w:rsid w:val="00636C57"/>
    <w:rsid w:val="00637DB8"/>
    <w:rsid w:val="006404BB"/>
    <w:rsid w:val="00640DB8"/>
    <w:rsid w:val="00642C37"/>
    <w:rsid w:val="006438A2"/>
    <w:rsid w:val="006508B9"/>
    <w:rsid w:val="00650EAF"/>
    <w:rsid w:val="00652D1A"/>
    <w:rsid w:val="006531D9"/>
    <w:rsid w:val="00653EF6"/>
    <w:rsid w:val="006549E3"/>
    <w:rsid w:val="00656028"/>
    <w:rsid w:val="00665FBA"/>
    <w:rsid w:val="00666076"/>
    <w:rsid w:val="00666576"/>
    <w:rsid w:val="00666D86"/>
    <w:rsid w:val="006674CC"/>
    <w:rsid w:val="0067113E"/>
    <w:rsid w:val="00671493"/>
    <w:rsid w:val="006718BC"/>
    <w:rsid w:val="00673609"/>
    <w:rsid w:val="00673688"/>
    <w:rsid w:val="00677764"/>
    <w:rsid w:val="00680254"/>
    <w:rsid w:val="00681E24"/>
    <w:rsid w:val="00682344"/>
    <w:rsid w:val="00683248"/>
    <w:rsid w:val="006868E3"/>
    <w:rsid w:val="006955CB"/>
    <w:rsid w:val="00695A65"/>
    <w:rsid w:val="0069614C"/>
    <w:rsid w:val="00697BF7"/>
    <w:rsid w:val="006A0FE8"/>
    <w:rsid w:val="006A3317"/>
    <w:rsid w:val="006A3F89"/>
    <w:rsid w:val="006A4AAF"/>
    <w:rsid w:val="006A71AB"/>
    <w:rsid w:val="006B0E71"/>
    <w:rsid w:val="006B10B1"/>
    <w:rsid w:val="006B35C2"/>
    <w:rsid w:val="006B4C33"/>
    <w:rsid w:val="006B5C6A"/>
    <w:rsid w:val="006B65F3"/>
    <w:rsid w:val="006B7C4E"/>
    <w:rsid w:val="006C0415"/>
    <w:rsid w:val="006C0745"/>
    <w:rsid w:val="006C39F2"/>
    <w:rsid w:val="006D0611"/>
    <w:rsid w:val="006D317A"/>
    <w:rsid w:val="006D5283"/>
    <w:rsid w:val="006D530A"/>
    <w:rsid w:val="006D5AB4"/>
    <w:rsid w:val="006E1B6C"/>
    <w:rsid w:val="006E2511"/>
    <w:rsid w:val="006E3D83"/>
    <w:rsid w:val="006E5690"/>
    <w:rsid w:val="006E5909"/>
    <w:rsid w:val="006F40AF"/>
    <w:rsid w:val="006F44C3"/>
    <w:rsid w:val="006F4702"/>
    <w:rsid w:val="006F4A18"/>
    <w:rsid w:val="006F4DC1"/>
    <w:rsid w:val="006F580B"/>
    <w:rsid w:val="0070144E"/>
    <w:rsid w:val="00702A8C"/>
    <w:rsid w:val="007054C4"/>
    <w:rsid w:val="0070711B"/>
    <w:rsid w:val="0071129F"/>
    <w:rsid w:val="00713015"/>
    <w:rsid w:val="0071643A"/>
    <w:rsid w:val="00720D84"/>
    <w:rsid w:val="00721203"/>
    <w:rsid w:val="00724C0D"/>
    <w:rsid w:val="00726BE4"/>
    <w:rsid w:val="00727222"/>
    <w:rsid w:val="00732FFA"/>
    <w:rsid w:val="00734B37"/>
    <w:rsid w:val="00737A5D"/>
    <w:rsid w:val="0074142F"/>
    <w:rsid w:val="007427CF"/>
    <w:rsid w:val="007436D9"/>
    <w:rsid w:val="00744373"/>
    <w:rsid w:val="00744885"/>
    <w:rsid w:val="00744A1E"/>
    <w:rsid w:val="00744F85"/>
    <w:rsid w:val="0074527A"/>
    <w:rsid w:val="007458A6"/>
    <w:rsid w:val="00746867"/>
    <w:rsid w:val="007504EC"/>
    <w:rsid w:val="00750F62"/>
    <w:rsid w:val="007514D2"/>
    <w:rsid w:val="00752EEE"/>
    <w:rsid w:val="00753C4C"/>
    <w:rsid w:val="00756BA6"/>
    <w:rsid w:val="0076278E"/>
    <w:rsid w:val="00764B16"/>
    <w:rsid w:val="00764B82"/>
    <w:rsid w:val="00766B78"/>
    <w:rsid w:val="007673CF"/>
    <w:rsid w:val="007728AF"/>
    <w:rsid w:val="00772E53"/>
    <w:rsid w:val="0077304C"/>
    <w:rsid w:val="00777547"/>
    <w:rsid w:val="0078236A"/>
    <w:rsid w:val="007826D8"/>
    <w:rsid w:val="007842B9"/>
    <w:rsid w:val="00785A5A"/>
    <w:rsid w:val="00786CE2"/>
    <w:rsid w:val="00787742"/>
    <w:rsid w:val="00794703"/>
    <w:rsid w:val="007953BE"/>
    <w:rsid w:val="007953EF"/>
    <w:rsid w:val="00795BE0"/>
    <w:rsid w:val="0079621C"/>
    <w:rsid w:val="0079643D"/>
    <w:rsid w:val="007A0368"/>
    <w:rsid w:val="007A0B93"/>
    <w:rsid w:val="007A2367"/>
    <w:rsid w:val="007A36D3"/>
    <w:rsid w:val="007A401E"/>
    <w:rsid w:val="007A4305"/>
    <w:rsid w:val="007A4A8F"/>
    <w:rsid w:val="007A5BC6"/>
    <w:rsid w:val="007A6626"/>
    <w:rsid w:val="007A7A22"/>
    <w:rsid w:val="007B07E1"/>
    <w:rsid w:val="007B3849"/>
    <w:rsid w:val="007B5B59"/>
    <w:rsid w:val="007B7351"/>
    <w:rsid w:val="007C1A1B"/>
    <w:rsid w:val="007C3617"/>
    <w:rsid w:val="007C71AC"/>
    <w:rsid w:val="007C7B92"/>
    <w:rsid w:val="007D1549"/>
    <w:rsid w:val="007D39C4"/>
    <w:rsid w:val="007D4011"/>
    <w:rsid w:val="007D4FF0"/>
    <w:rsid w:val="007D65FE"/>
    <w:rsid w:val="007D722E"/>
    <w:rsid w:val="007D76AF"/>
    <w:rsid w:val="007D7726"/>
    <w:rsid w:val="007E05B6"/>
    <w:rsid w:val="007E0976"/>
    <w:rsid w:val="007E3BAD"/>
    <w:rsid w:val="007E4AD7"/>
    <w:rsid w:val="007E5FA1"/>
    <w:rsid w:val="007E6B61"/>
    <w:rsid w:val="007F12DA"/>
    <w:rsid w:val="007F3933"/>
    <w:rsid w:val="00801DB7"/>
    <w:rsid w:val="00801E4C"/>
    <w:rsid w:val="0080362C"/>
    <w:rsid w:val="00807F5D"/>
    <w:rsid w:val="008113B6"/>
    <w:rsid w:val="00812182"/>
    <w:rsid w:val="00815C15"/>
    <w:rsid w:val="0081604C"/>
    <w:rsid w:val="0081676C"/>
    <w:rsid w:val="008207F6"/>
    <w:rsid w:val="0082116E"/>
    <w:rsid w:val="00821780"/>
    <w:rsid w:val="00822C69"/>
    <w:rsid w:val="00823041"/>
    <w:rsid w:val="00824B38"/>
    <w:rsid w:val="00826E42"/>
    <w:rsid w:val="00827DEF"/>
    <w:rsid w:val="00827E78"/>
    <w:rsid w:val="00830818"/>
    <w:rsid w:val="00830C28"/>
    <w:rsid w:val="00831D9C"/>
    <w:rsid w:val="00835D92"/>
    <w:rsid w:val="008361B2"/>
    <w:rsid w:val="0083658C"/>
    <w:rsid w:val="00837198"/>
    <w:rsid w:val="00843E8D"/>
    <w:rsid w:val="00844346"/>
    <w:rsid w:val="00846290"/>
    <w:rsid w:val="00846A25"/>
    <w:rsid w:val="00846AF2"/>
    <w:rsid w:val="00846D43"/>
    <w:rsid w:val="0085269F"/>
    <w:rsid w:val="00853ADB"/>
    <w:rsid w:val="0085452A"/>
    <w:rsid w:val="00855116"/>
    <w:rsid w:val="00855FFF"/>
    <w:rsid w:val="00857C20"/>
    <w:rsid w:val="00860624"/>
    <w:rsid w:val="00862629"/>
    <w:rsid w:val="00862728"/>
    <w:rsid w:val="008630F5"/>
    <w:rsid w:val="00863609"/>
    <w:rsid w:val="008657C5"/>
    <w:rsid w:val="00867352"/>
    <w:rsid w:val="0087231A"/>
    <w:rsid w:val="0088009C"/>
    <w:rsid w:val="00880967"/>
    <w:rsid w:val="00880C8E"/>
    <w:rsid w:val="008875EF"/>
    <w:rsid w:val="00891A17"/>
    <w:rsid w:val="008943F9"/>
    <w:rsid w:val="00895E87"/>
    <w:rsid w:val="00897624"/>
    <w:rsid w:val="008A056B"/>
    <w:rsid w:val="008A05DD"/>
    <w:rsid w:val="008A5628"/>
    <w:rsid w:val="008A5B97"/>
    <w:rsid w:val="008A6BBD"/>
    <w:rsid w:val="008A7775"/>
    <w:rsid w:val="008B05C9"/>
    <w:rsid w:val="008B1212"/>
    <w:rsid w:val="008B1A16"/>
    <w:rsid w:val="008B51D5"/>
    <w:rsid w:val="008B747C"/>
    <w:rsid w:val="008B792B"/>
    <w:rsid w:val="008C0F6C"/>
    <w:rsid w:val="008C2B24"/>
    <w:rsid w:val="008C5539"/>
    <w:rsid w:val="008C5AC4"/>
    <w:rsid w:val="008D10BA"/>
    <w:rsid w:val="008D14AC"/>
    <w:rsid w:val="008D1632"/>
    <w:rsid w:val="008D5CF6"/>
    <w:rsid w:val="008D5F0E"/>
    <w:rsid w:val="008D602B"/>
    <w:rsid w:val="008D62F3"/>
    <w:rsid w:val="008D7B9A"/>
    <w:rsid w:val="008E2B8A"/>
    <w:rsid w:val="008E3672"/>
    <w:rsid w:val="008E50B1"/>
    <w:rsid w:val="008E6F1F"/>
    <w:rsid w:val="008F0A3C"/>
    <w:rsid w:val="008F38A3"/>
    <w:rsid w:val="008F469D"/>
    <w:rsid w:val="008F685F"/>
    <w:rsid w:val="00900E06"/>
    <w:rsid w:val="00901FCF"/>
    <w:rsid w:val="00904889"/>
    <w:rsid w:val="00904C43"/>
    <w:rsid w:val="00905BCA"/>
    <w:rsid w:val="00905D96"/>
    <w:rsid w:val="009102E6"/>
    <w:rsid w:val="00911436"/>
    <w:rsid w:val="009121C1"/>
    <w:rsid w:val="0091287B"/>
    <w:rsid w:val="00913DC0"/>
    <w:rsid w:val="00920E9B"/>
    <w:rsid w:val="00920F0A"/>
    <w:rsid w:val="009220E8"/>
    <w:rsid w:val="00922D1B"/>
    <w:rsid w:val="009243F2"/>
    <w:rsid w:val="00925099"/>
    <w:rsid w:val="00925E8E"/>
    <w:rsid w:val="009262D3"/>
    <w:rsid w:val="00931751"/>
    <w:rsid w:val="00932FD5"/>
    <w:rsid w:val="00933C1F"/>
    <w:rsid w:val="00935E12"/>
    <w:rsid w:val="00937FD9"/>
    <w:rsid w:val="0094098E"/>
    <w:rsid w:val="00940990"/>
    <w:rsid w:val="0094267F"/>
    <w:rsid w:val="00942F5A"/>
    <w:rsid w:val="00943858"/>
    <w:rsid w:val="00943F1A"/>
    <w:rsid w:val="009443D5"/>
    <w:rsid w:val="009455AF"/>
    <w:rsid w:val="009457E2"/>
    <w:rsid w:val="00945F7F"/>
    <w:rsid w:val="00946AD3"/>
    <w:rsid w:val="00947812"/>
    <w:rsid w:val="0095130B"/>
    <w:rsid w:val="00952008"/>
    <w:rsid w:val="00955491"/>
    <w:rsid w:val="00956099"/>
    <w:rsid w:val="0095717D"/>
    <w:rsid w:val="00960B45"/>
    <w:rsid w:val="009652F0"/>
    <w:rsid w:val="009662F4"/>
    <w:rsid w:val="00970C5C"/>
    <w:rsid w:val="009715A8"/>
    <w:rsid w:val="00971786"/>
    <w:rsid w:val="00972221"/>
    <w:rsid w:val="00973542"/>
    <w:rsid w:val="0097497B"/>
    <w:rsid w:val="00975B9E"/>
    <w:rsid w:val="00975EAA"/>
    <w:rsid w:val="0097759F"/>
    <w:rsid w:val="00977913"/>
    <w:rsid w:val="00977B32"/>
    <w:rsid w:val="00977E2B"/>
    <w:rsid w:val="0098089E"/>
    <w:rsid w:val="00984A38"/>
    <w:rsid w:val="00985C13"/>
    <w:rsid w:val="0098626D"/>
    <w:rsid w:val="00990118"/>
    <w:rsid w:val="009903BB"/>
    <w:rsid w:val="00992B2A"/>
    <w:rsid w:val="0099505E"/>
    <w:rsid w:val="00996D72"/>
    <w:rsid w:val="00996FDC"/>
    <w:rsid w:val="009A10B5"/>
    <w:rsid w:val="009A4EB5"/>
    <w:rsid w:val="009A5BE6"/>
    <w:rsid w:val="009A622A"/>
    <w:rsid w:val="009B0E95"/>
    <w:rsid w:val="009B29DE"/>
    <w:rsid w:val="009B4B29"/>
    <w:rsid w:val="009B5150"/>
    <w:rsid w:val="009C1E82"/>
    <w:rsid w:val="009C54D9"/>
    <w:rsid w:val="009C5CE2"/>
    <w:rsid w:val="009C6A17"/>
    <w:rsid w:val="009C76F9"/>
    <w:rsid w:val="009D09DB"/>
    <w:rsid w:val="009D0D04"/>
    <w:rsid w:val="009D1B2F"/>
    <w:rsid w:val="009D237A"/>
    <w:rsid w:val="009D23BB"/>
    <w:rsid w:val="009D3FFB"/>
    <w:rsid w:val="009D4800"/>
    <w:rsid w:val="009D5E37"/>
    <w:rsid w:val="009D6222"/>
    <w:rsid w:val="009D6948"/>
    <w:rsid w:val="009E618F"/>
    <w:rsid w:val="009E7B7C"/>
    <w:rsid w:val="009F0D6C"/>
    <w:rsid w:val="009F0EE3"/>
    <w:rsid w:val="009F151F"/>
    <w:rsid w:val="009F33D6"/>
    <w:rsid w:val="009F45D2"/>
    <w:rsid w:val="009F5D9E"/>
    <w:rsid w:val="009F5ED8"/>
    <w:rsid w:val="009F67CA"/>
    <w:rsid w:val="009F73F7"/>
    <w:rsid w:val="00A01056"/>
    <w:rsid w:val="00A02BA3"/>
    <w:rsid w:val="00A031B9"/>
    <w:rsid w:val="00A04216"/>
    <w:rsid w:val="00A071CD"/>
    <w:rsid w:val="00A0760D"/>
    <w:rsid w:val="00A07FEB"/>
    <w:rsid w:val="00A107D4"/>
    <w:rsid w:val="00A1219F"/>
    <w:rsid w:val="00A13A9A"/>
    <w:rsid w:val="00A1592A"/>
    <w:rsid w:val="00A17087"/>
    <w:rsid w:val="00A17837"/>
    <w:rsid w:val="00A21FA9"/>
    <w:rsid w:val="00A2341D"/>
    <w:rsid w:val="00A3416F"/>
    <w:rsid w:val="00A36A47"/>
    <w:rsid w:val="00A37F93"/>
    <w:rsid w:val="00A404A9"/>
    <w:rsid w:val="00A457C3"/>
    <w:rsid w:val="00A45AAD"/>
    <w:rsid w:val="00A469E9"/>
    <w:rsid w:val="00A50760"/>
    <w:rsid w:val="00A5192E"/>
    <w:rsid w:val="00A53A44"/>
    <w:rsid w:val="00A54468"/>
    <w:rsid w:val="00A55289"/>
    <w:rsid w:val="00A56DC6"/>
    <w:rsid w:val="00A5740A"/>
    <w:rsid w:val="00A57948"/>
    <w:rsid w:val="00A60113"/>
    <w:rsid w:val="00A6237B"/>
    <w:rsid w:val="00A63B16"/>
    <w:rsid w:val="00A6491E"/>
    <w:rsid w:val="00A64F03"/>
    <w:rsid w:val="00A658CC"/>
    <w:rsid w:val="00A65B19"/>
    <w:rsid w:val="00A678EC"/>
    <w:rsid w:val="00A7347F"/>
    <w:rsid w:val="00A73E19"/>
    <w:rsid w:val="00A76089"/>
    <w:rsid w:val="00A7778D"/>
    <w:rsid w:val="00A77CC3"/>
    <w:rsid w:val="00A800FE"/>
    <w:rsid w:val="00A81BA1"/>
    <w:rsid w:val="00A81FE3"/>
    <w:rsid w:val="00A8362C"/>
    <w:rsid w:val="00A87337"/>
    <w:rsid w:val="00A924B0"/>
    <w:rsid w:val="00A92B10"/>
    <w:rsid w:val="00A945CB"/>
    <w:rsid w:val="00A94758"/>
    <w:rsid w:val="00AA0130"/>
    <w:rsid w:val="00AA73CC"/>
    <w:rsid w:val="00AB0520"/>
    <w:rsid w:val="00AB251B"/>
    <w:rsid w:val="00AB321F"/>
    <w:rsid w:val="00AB3991"/>
    <w:rsid w:val="00AB3AFE"/>
    <w:rsid w:val="00AB47C9"/>
    <w:rsid w:val="00AB6CF4"/>
    <w:rsid w:val="00AB7540"/>
    <w:rsid w:val="00AB7563"/>
    <w:rsid w:val="00AC0722"/>
    <w:rsid w:val="00AC0F83"/>
    <w:rsid w:val="00AC1319"/>
    <w:rsid w:val="00AC1622"/>
    <w:rsid w:val="00AC44C6"/>
    <w:rsid w:val="00AC593C"/>
    <w:rsid w:val="00AC59C1"/>
    <w:rsid w:val="00AC5D06"/>
    <w:rsid w:val="00AC66E3"/>
    <w:rsid w:val="00AC6E47"/>
    <w:rsid w:val="00AD2572"/>
    <w:rsid w:val="00AD4DB7"/>
    <w:rsid w:val="00AE00EF"/>
    <w:rsid w:val="00AE461F"/>
    <w:rsid w:val="00AE7589"/>
    <w:rsid w:val="00AF2802"/>
    <w:rsid w:val="00B02423"/>
    <w:rsid w:val="00B02CD5"/>
    <w:rsid w:val="00B133B8"/>
    <w:rsid w:val="00B133CA"/>
    <w:rsid w:val="00B138EC"/>
    <w:rsid w:val="00B13980"/>
    <w:rsid w:val="00B16053"/>
    <w:rsid w:val="00B172D3"/>
    <w:rsid w:val="00B22EBB"/>
    <w:rsid w:val="00B23DEB"/>
    <w:rsid w:val="00B24447"/>
    <w:rsid w:val="00B2484E"/>
    <w:rsid w:val="00B309A5"/>
    <w:rsid w:val="00B3121B"/>
    <w:rsid w:val="00B31926"/>
    <w:rsid w:val="00B31E19"/>
    <w:rsid w:val="00B35024"/>
    <w:rsid w:val="00B35226"/>
    <w:rsid w:val="00B36269"/>
    <w:rsid w:val="00B40CF4"/>
    <w:rsid w:val="00B421D3"/>
    <w:rsid w:val="00B45FC3"/>
    <w:rsid w:val="00B4685B"/>
    <w:rsid w:val="00B46D03"/>
    <w:rsid w:val="00B47E2C"/>
    <w:rsid w:val="00B51BC6"/>
    <w:rsid w:val="00B52502"/>
    <w:rsid w:val="00B53420"/>
    <w:rsid w:val="00B549E6"/>
    <w:rsid w:val="00B61A15"/>
    <w:rsid w:val="00B61D60"/>
    <w:rsid w:val="00B63D06"/>
    <w:rsid w:val="00B64383"/>
    <w:rsid w:val="00B66E30"/>
    <w:rsid w:val="00B705DC"/>
    <w:rsid w:val="00B807BD"/>
    <w:rsid w:val="00B8093E"/>
    <w:rsid w:val="00B80AD8"/>
    <w:rsid w:val="00B81CA0"/>
    <w:rsid w:val="00B830CA"/>
    <w:rsid w:val="00B8403B"/>
    <w:rsid w:val="00B84ECE"/>
    <w:rsid w:val="00B85452"/>
    <w:rsid w:val="00B863BC"/>
    <w:rsid w:val="00B871DE"/>
    <w:rsid w:val="00B87264"/>
    <w:rsid w:val="00B91348"/>
    <w:rsid w:val="00B915AE"/>
    <w:rsid w:val="00B91633"/>
    <w:rsid w:val="00B955A0"/>
    <w:rsid w:val="00B9575F"/>
    <w:rsid w:val="00B9648A"/>
    <w:rsid w:val="00BA109A"/>
    <w:rsid w:val="00BA1DCD"/>
    <w:rsid w:val="00BA351E"/>
    <w:rsid w:val="00BA586D"/>
    <w:rsid w:val="00BA7638"/>
    <w:rsid w:val="00BB0474"/>
    <w:rsid w:val="00BB2450"/>
    <w:rsid w:val="00BB32C1"/>
    <w:rsid w:val="00BB62A9"/>
    <w:rsid w:val="00BC1873"/>
    <w:rsid w:val="00BC482F"/>
    <w:rsid w:val="00BC4BEC"/>
    <w:rsid w:val="00BC4CB8"/>
    <w:rsid w:val="00BC613C"/>
    <w:rsid w:val="00BD00E4"/>
    <w:rsid w:val="00BE0789"/>
    <w:rsid w:val="00BE0C45"/>
    <w:rsid w:val="00BE39B7"/>
    <w:rsid w:val="00BE3D01"/>
    <w:rsid w:val="00BE4B52"/>
    <w:rsid w:val="00BE72DF"/>
    <w:rsid w:val="00BF07AC"/>
    <w:rsid w:val="00BF16B3"/>
    <w:rsid w:val="00BF29BD"/>
    <w:rsid w:val="00BF5687"/>
    <w:rsid w:val="00BF5CE2"/>
    <w:rsid w:val="00BF7271"/>
    <w:rsid w:val="00C0055C"/>
    <w:rsid w:val="00C01583"/>
    <w:rsid w:val="00C01A84"/>
    <w:rsid w:val="00C0238F"/>
    <w:rsid w:val="00C0346D"/>
    <w:rsid w:val="00C054D3"/>
    <w:rsid w:val="00C0760E"/>
    <w:rsid w:val="00C07917"/>
    <w:rsid w:val="00C10F78"/>
    <w:rsid w:val="00C126FC"/>
    <w:rsid w:val="00C12ADA"/>
    <w:rsid w:val="00C135A4"/>
    <w:rsid w:val="00C13FC6"/>
    <w:rsid w:val="00C143A2"/>
    <w:rsid w:val="00C1529D"/>
    <w:rsid w:val="00C20889"/>
    <w:rsid w:val="00C22503"/>
    <w:rsid w:val="00C225A4"/>
    <w:rsid w:val="00C23094"/>
    <w:rsid w:val="00C258EE"/>
    <w:rsid w:val="00C25C70"/>
    <w:rsid w:val="00C25FFB"/>
    <w:rsid w:val="00C27575"/>
    <w:rsid w:val="00C276DC"/>
    <w:rsid w:val="00C27C80"/>
    <w:rsid w:val="00C3026A"/>
    <w:rsid w:val="00C310B0"/>
    <w:rsid w:val="00C31137"/>
    <w:rsid w:val="00C3777A"/>
    <w:rsid w:val="00C40061"/>
    <w:rsid w:val="00C403AD"/>
    <w:rsid w:val="00C50812"/>
    <w:rsid w:val="00C50CE4"/>
    <w:rsid w:val="00C56C29"/>
    <w:rsid w:val="00C6022A"/>
    <w:rsid w:val="00C605F3"/>
    <w:rsid w:val="00C61C0F"/>
    <w:rsid w:val="00C61D54"/>
    <w:rsid w:val="00C61FEC"/>
    <w:rsid w:val="00C63203"/>
    <w:rsid w:val="00C64785"/>
    <w:rsid w:val="00C65816"/>
    <w:rsid w:val="00C66241"/>
    <w:rsid w:val="00C665CC"/>
    <w:rsid w:val="00C67960"/>
    <w:rsid w:val="00C708CE"/>
    <w:rsid w:val="00C7197F"/>
    <w:rsid w:val="00C7382B"/>
    <w:rsid w:val="00C73872"/>
    <w:rsid w:val="00C73A55"/>
    <w:rsid w:val="00C7795C"/>
    <w:rsid w:val="00C80B2D"/>
    <w:rsid w:val="00C817F7"/>
    <w:rsid w:val="00C8230D"/>
    <w:rsid w:val="00C905EB"/>
    <w:rsid w:val="00C912A5"/>
    <w:rsid w:val="00C91BB3"/>
    <w:rsid w:val="00C91E9C"/>
    <w:rsid w:val="00C92B93"/>
    <w:rsid w:val="00C92CE8"/>
    <w:rsid w:val="00C9361B"/>
    <w:rsid w:val="00CA0345"/>
    <w:rsid w:val="00CA420E"/>
    <w:rsid w:val="00CA707C"/>
    <w:rsid w:val="00CB1DFA"/>
    <w:rsid w:val="00CB273B"/>
    <w:rsid w:val="00CB399A"/>
    <w:rsid w:val="00CB46C1"/>
    <w:rsid w:val="00CB7CA5"/>
    <w:rsid w:val="00CC212E"/>
    <w:rsid w:val="00CC506D"/>
    <w:rsid w:val="00CC5089"/>
    <w:rsid w:val="00CC6492"/>
    <w:rsid w:val="00CD0DBC"/>
    <w:rsid w:val="00CD13CE"/>
    <w:rsid w:val="00CD4672"/>
    <w:rsid w:val="00CD7BB6"/>
    <w:rsid w:val="00CE09C3"/>
    <w:rsid w:val="00CE22FD"/>
    <w:rsid w:val="00CE25E7"/>
    <w:rsid w:val="00CE2B84"/>
    <w:rsid w:val="00CE3499"/>
    <w:rsid w:val="00CE35B6"/>
    <w:rsid w:val="00CE4639"/>
    <w:rsid w:val="00CE57CB"/>
    <w:rsid w:val="00CE7149"/>
    <w:rsid w:val="00CF09B2"/>
    <w:rsid w:val="00CF1D8F"/>
    <w:rsid w:val="00CF21F0"/>
    <w:rsid w:val="00CF2877"/>
    <w:rsid w:val="00CF5F89"/>
    <w:rsid w:val="00CF6799"/>
    <w:rsid w:val="00CF6AB8"/>
    <w:rsid w:val="00D00281"/>
    <w:rsid w:val="00D01286"/>
    <w:rsid w:val="00D05A2D"/>
    <w:rsid w:val="00D06F99"/>
    <w:rsid w:val="00D07DAD"/>
    <w:rsid w:val="00D1076D"/>
    <w:rsid w:val="00D13864"/>
    <w:rsid w:val="00D15A32"/>
    <w:rsid w:val="00D15D85"/>
    <w:rsid w:val="00D17835"/>
    <w:rsid w:val="00D248E5"/>
    <w:rsid w:val="00D27D7D"/>
    <w:rsid w:val="00D30062"/>
    <w:rsid w:val="00D31C69"/>
    <w:rsid w:val="00D3370A"/>
    <w:rsid w:val="00D33E79"/>
    <w:rsid w:val="00D3418B"/>
    <w:rsid w:val="00D35B7A"/>
    <w:rsid w:val="00D35EDB"/>
    <w:rsid w:val="00D37526"/>
    <w:rsid w:val="00D37AFB"/>
    <w:rsid w:val="00D42436"/>
    <w:rsid w:val="00D43E38"/>
    <w:rsid w:val="00D449D0"/>
    <w:rsid w:val="00D44D7B"/>
    <w:rsid w:val="00D4676C"/>
    <w:rsid w:val="00D516E0"/>
    <w:rsid w:val="00D545E3"/>
    <w:rsid w:val="00D55B06"/>
    <w:rsid w:val="00D56500"/>
    <w:rsid w:val="00D56C6F"/>
    <w:rsid w:val="00D56F48"/>
    <w:rsid w:val="00D635D8"/>
    <w:rsid w:val="00D64E60"/>
    <w:rsid w:val="00D65CCF"/>
    <w:rsid w:val="00D66322"/>
    <w:rsid w:val="00D66DE5"/>
    <w:rsid w:val="00D70807"/>
    <w:rsid w:val="00D73C05"/>
    <w:rsid w:val="00D73C99"/>
    <w:rsid w:val="00D76C03"/>
    <w:rsid w:val="00D806F8"/>
    <w:rsid w:val="00D82BAE"/>
    <w:rsid w:val="00D834C6"/>
    <w:rsid w:val="00D83E07"/>
    <w:rsid w:val="00D84E3B"/>
    <w:rsid w:val="00D902AB"/>
    <w:rsid w:val="00D92384"/>
    <w:rsid w:val="00D958CD"/>
    <w:rsid w:val="00DA133B"/>
    <w:rsid w:val="00DA1386"/>
    <w:rsid w:val="00DA166D"/>
    <w:rsid w:val="00DA67D1"/>
    <w:rsid w:val="00DA78D7"/>
    <w:rsid w:val="00DB0AC7"/>
    <w:rsid w:val="00DB3570"/>
    <w:rsid w:val="00DB742B"/>
    <w:rsid w:val="00DB7854"/>
    <w:rsid w:val="00DC49DD"/>
    <w:rsid w:val="00DC55C1"/>
    <w:rsid w:val="00DC5978"/>
    <w:rsid w:val="00DC7387"/>
    <w:rsid w:val="00DD0427"/>
    <w:rsid w:val="00DD04FB"/>
    <w:rsid w:val="00DD0899"/>
    <w:rsid w:val="00DD0B09"/>
    <w:rsid w:val="00DD2D8B"/>
    <w:rsid w:val="00DD68DA"/>
    <w:rsid w:val="00DD6A09"/>
    <w:rsid w:val="00DE21CD"/>
    <w:rsid w:val="00DE22E2"/>
    <w:rsid w:val="00DE6B1E"/>
    <w:rsid w:val="00DE75F8"/>
    <w:rsid w:val="00DE78A9"/>
    <w:rsid w:val="00DF111A"/>
    <w:rsid w:val="00DF1C2E"/>
    <w:rsid w:val="00DF3B6A"/>
    <w:rsid w:val="00DF4EB6"/>
    <w:rsid w:val="00DF5792"/>
    <w:rsid w:val="00DF5A36"/>
    <w:rsid w:val="00DF731F"/>
    <w:rsid w:val="00E005B5"/>
    <w:rsid w:val="00E01C87"/>
    <w:rsid w:val="00E01DB6"/>
    <w:rsid w:val="00E02A62"/>
    <w:rsid w:val="00E02C5A"/>
    <w:rsid w:val="00E034C1"/>
    <w:rsid w:val="00E046B4"/>
    <w:rsid w:val="00E07C32"/>
    <w:rsid w:val="00E07D15"/>
    <w:rsid w:val="00E11FD7"/>
    <w:rsid w:val="00E12099"/>
    <w:rsid w:val="00E12AFC"/>
    <w:rsid w:val="00E15086"/>
    <w:rsid w:val="00E1524E"/>
    <w:rsid w:val="00E24281"/>
    <w:rsid w:val="00E2494C"/>
    <w:rsid w:val="00E26B07"/>
    <w:rsid w:val="00E30881"/>
    <w:rsid w:val="00E312E6"/>
    <w:rsid w:val="00E33DC1"/>
    <w:rsid w:val="00E37BCA"/>
    <w:rsid w:val="00E40F7C"/>
    <w:rsid w:val="00E45304"/>
    <w:rsid w:val="00E4650B"/>
    <w:rsid w:val="00E46B17"/>
    <w:rsid w:val="00E5407D"/>
    <w:rsid w:val="00E54279"/>
    <w:rsid w:val="00E543AA"/>
    <w:rsid w:val="00E54641"/>
    <w:rsid w:val="00E55234"/>
    <w:rsid w:val="00E55822"/>
    <w:rsid w:val="00E55C36"/>
    <w:rsid w:val="00E56275"/>
    <w:rsid w:val="00E575A7"/>
    <w:rsid w:val="00E61090"/>
    <w:rsid w:val="00E619BB"/>
    <w:rsid w:val="00E61AC7"/>
    <w:rsid w:val="00E6230B"/>
    <w:rsid w:val="00E635FE"/>
    <w:rsid w:val="00E64230"/>
    <w:rsid w:val="00E6450E"/>
    <w:rsid w:val="00E73B59"/>
    <w:rsid w:val="00E74905"/>
    <w:rsid w:val="00E7634B"/>
    <w:rsid w:val="00E77B0B"/>
    <w:rsid w:val="00E82D26"/>
    <w:rsid w:val="00E90387"/>
    <w:rsid w:val="00E90786"/>
    <w:rsid w:val="00E91166"/>
    <w:rsid w:val="00E924BC"/>
    <w:rsid w:val="00E92A2B"/>
    <w:rsid w:val="00E93096"/>
    <w:rsid w:val="00E941D8"/>
    <w:rsid w:val="00E9525C"/>
    <w:rsid w:val="00E97770"/>
    <w:rsid w:val="00EA0478"/>
    <w:rsid w:val="00EA157E"/>
    <w:rsid w:val="00EA4EAE"/>
    <w:rsid w:val="00EB3ABF"/>
    <w:rsid w:val="00EB5051"/>
    <w:rsid w:val="00EB79CF"/>
    <w:rsid w:val="00EC0098"/>
    <w:rsid w:val="00EC0446"/>
    <w:rsid w:val="00EC3C34"/>
    <w:rsid w:val="00EC52AA"/>
    <w:rsid w:val="00EC5E05"/>
    <w:rsid w:val="00ED202C"/>
    <w:rsid w:val="00ED23AE"/>
    <w:rsid w:val="00ED474C"/>
    <w:rsid w:val="00ED5620"/>
    <w:rsid w:val="00ED6535"/>
    <w:rsid w:val="00EE0737"/>
    <w:rsid w:val="00EE1717"/>
    <w:rsid w:val="00EE1D00"/>
    <w:rsid w:val="00EE5257"/>
    <w:rsid w:val="00EF0BE0"/>
    <w:rsid w:val="00EF5A40"/>
    <w:rsid w:val="00EF64B5"/>
    <w:rsid w:val="00EF7469"/>
    <w:rsid w:val="00F01079"/>
    <w:rsid w:val="00F02EF4"/>
    <w:rsid w:val="00F04D44"/>
    <w:rsid w:val="00F05DFA"/>
    <w:rsid w:val="00F07877"/>
    <w:rsid w:val="00F07973"/>
    <w:rsid w:val="00F10979"/>
    <w:rsid w:val="00F12D4A"/>
    <w:rsid w:val="00F15EE0"/>
    <w:rsid w:val="00F203D6"/>
    <w:rsid w:val="00F21E8F"/>
    <w:rsid w:val="00F22089"/>
    <w:rsid w:val="00F22DCE"/>
    <w:rsid w:val="00F233BE"/>
    <w:rsid w:val="00F247E3"/>
    <w:rsid w:val="00F25C7C"/>
    <w:rsid w:val="00F27AC8"/>
    <w:rsid w:val="00F3000C"/>
    <w:rsid w:val="00F30BDD"/>
    <w:rsid w:val="00F31E41"/>
    <w:rsid w:val="00F33213"/>
    <w:rsid w:val="00F33613"/>
    <w:rsid w:val="00F33A9E"/>
    <w:rsid w:val="00F35963"/>
    <w:rsid w:val="00F374E5"/>
    <w:rsid w:val="00F40721"/>
    <w:rsid w:val="00F40CC1"/>
    <w:rsid w:val="00F44B1D"/>
    <w:rsid w:val="00F53303"/>
    <w:rsid w:val="00F53469"/>
    <w:rsid w:val="00F554C2"/>
    <w:rsid w:val="00F61A3E"/>
    <w:rsid w:val="00F649D7"/>
    <w:rsid w:val="00F65D90"/>
    <w:rsid w:val="00F67BA8"/>
    <w:rsid w:val="00F67C8E"/>
    <w:rsid w:val="00F70AA6"/>
    <w:rsid w:val="00F70E5C"/>
    <w:rsid w:val="00F728EB"/>
    <w:rsid w:val="00F73279"/>
    <w:rsid w:val="00F76888"/>
    <w:rsid w:val="00F826F7"/>
    <w:rsid w:val="00F8564E"/>
    <w:rsid w:val="00F91723"/>
    <w:rsid w:val="00F926F5"/>
    <w:rsid w:val="00F92F49"/>
    <w:rsid w:val="00F94579"/>
    <w:rsid w:val="00FA09F4"/>
    <w:rsid w:val="00FA3CB7"/>
    <w:rsid w:val="00FA49AC"/>
    <w:rsid w:val="00FA62AE"/>
    <w:rsid w:val="00FB0000"/>
    <w:rsid w:val="00FB05E3"/>
    <w:rsid w:val="00FB081E"/>
    <w:rsid w:val="00FB1B48"/>
    <w:rsid w:val="00FB2852"/>
    <w:rsid w:val="00FB7BA4"/>
    <w:rsid w:val="00FB7F2F"/>
    <w:rsid w:val="00FC25BB"/>
    <w:rsid w:val="00FC2F3C"/>
    <w:rsid w:val="00FC3558"/>
    <w:rsid w:val="00FC5CB9"/>
    <w:rsid w:val="00FC6EE3"/>
    <w:rsid w:val="00FC7440"/>
    <w:rsid w:val="00FD1676"/>
    <w:rsid w:val="00FD1688"/>
    <w:rsid w:val="00FD1969"/>
    <w:rsid w:val="00FD273A"/>
    <w:rsid w:val="00FD4330"/>
    <w:rsid w:val="00FD54D7"/>
    <w:rsid w:val="00FD6017"/>
    <w:rsid w:val="00FD643C"/>
    <w:rsid w:val="00FE0A84"/>
    <w:rsid w:val="00FE0B1C"/>
    <w:rsid w:val="00FE0B5B"/>
    <w:rsid w:val="00FE4B26"/>
    <w:rsid w:val="00FF2052"/>
    <w:rsid w:val="00FF42E7"/>
    <w:rsid w:val="00FF432E"/>
    <w:rsid w:val="00FF7F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semiHidden/>
    <w:rsid w:val="00A60113"/>
    <w:pPr>
      <w:jc w:val="both"/>
    </w:pPr>
    <w:rPr>
      <w:rFonts w:eastAsiaTheme="minorEastAsia"/>
      <w:sz w:val="24"/>
      <w:lang w:val="en-GB"/>
    </w:rPr>
  </w:style>
  <w:style w:type="paragraph" w:styleId="Nagwek1">
    <w:name w:val="heading 1"/>
    <w:basedOn w:val="Normalny"/>
    <w:next w:val="Normalny"/>
    <w:link w:val="Nagwek1Znak"/>
    <w:uiPriority w:val="99"/>
    <w:semiHidden/>
    <w:rsid w:val="00A60113"/>
    <w:pPr>
      <w:spacing w:before="480"/>
      <w:contextualSpacing/>
      <w:outlineLvl w:val="0"/>
    </w:pPr>
    <w:rPr>
      <w:rFonts w:asciiTheme="majorHAnsi" w:eastAsiaTheme="majorEastAsia" w:hAnsiTheme="majorHAnsi" w:cstheme="majorBidi"/>
      <w:b/>
      <w:bCs/>
      <w:color w:val="333333"/>
      <w:sz w:val="28"/>
      <w:szCs w:val="28"/>
    </w:rPr>
  </w:style>
  <w:style w:type="paragraph" w:styleId="Nagwek2">
    <w:name w:val="heading 2"/>
    <w:basedOn w:val="Normalny"/>
    <w:next w:val="Normalny"/>
    <w:link w:val="Nagwek2Znak"/>
    <w:uiPriority w:val="99"/>
    <w:semiHidden/>
    <w:rsid w:val="00A60113"/>
    <w:pPr>
      <w:spacing w:before="200"/>
      <w:outlineLvl w:val="1"/>
    </w:pPr>
    <w:rPr>
      <w:rFonts w:asciiTheme="majorHAnsi" w:eastAsiaTheme="majorEastAsia" w:hAnsiTheme="majorHAnsi" w:cstheme="majorBidi"/>
      <w:b/>
      <w:bCs/>
      <w:color w:val="4D4D4D"/>
      <w:sz w:val="26"/>
      <w:szCs w:val="26"/>
    </w:rPr>
  </w:style>
  <w:style w:type="paragraph" w:styleId="Nagwek3">
    <w:name w:val="heading 3"/>
    <w:basedOn w:val="Normalny"/>
    <w:next w:val="Normalny"/>
    <w:link w:val="Nagwek3Znak"/>
    <w:uiPriority w:val="99"/>
    <w:semiHidden/>
    <w:rsid w:val="00A60113"/>
    <w:pPr>
      <w:spacing w:before="200" w:line="271" w:lineRule="auto"/>
      <w:outlineLvl w:val="2"/>
    </w:pPr>
    <w:rPr>
      <w:rFonts w:asciiTheme="majorHAnsi" w:eastAsiaTheme="majorEastAsia" w:hAnsiTheme="majorHAnsi" w:cstheme="majorBidi"/>
      <w:b/>
      <w:bCs/>
      <w:color w:val="5F5F5F"/>
    </w:rPr>
  </w:style>
  <w:style w:type="paragraph" w:styleId="Nagwek4">
    <w:name w:val="heading 4"/>
    <w:basedOn w:val="Normalny"/>
    <w:next w:val="Normalny"/>
    <w:link w:val="Nagwek4Znak"/>
    <w:uiPriority w:val="99"/>
    <w:semiHidden/>
    <w:rsid w:val="00A60113"/>
    <w:pPr>
      <w:spacing w:before="200"/>
      <w:outlineLvl w:val="3"/>
    </w:pPr>
    <w:rPr>
      <w:rFonts w:asciiTheme="majorHAnsi" w:eastAsiaTheme="majorEastAsia" w:hAnsiTheme="majorHAnsi" w:cstheme="majorBidi"/>
      <w:b/>
      <w:bCs/>
      <w:i/>
      <w:iCs/>
      <w:color w:val="777777"/>
    </w:rPr>
  </w:style>
  <w:style w:type="paragraph" w:styleId="Nagwek5">
    <w:name w:val="heading 5"/>
    <w:basedOn w:val="Normalny"/>
    <w:next w:val="Normalny"/>
    <w:link w:val="Nagwek5Znak"/>
    <w:uiPriority w:val="99"/>
    <w:semiHidden/>
    <w:qFormat/>
    <w:rsid w:val="00A60113"/>
    <w:pPr>
      <w:spacing w:before="200"/>
      <w:outlineLvl w:val="4"/>
    </w:pPr>
    <w:rPr>
      <w:rFonts w:asciiTheme="majorHAnsi" w:eastAsiaTheme="majorEastAsia" w:hAnsiTheme="majorHAnsi" w:cstheme="majorBidi"/>
      <w:b/>
      <w:bCs/>
      <w:color w:val="808080"/>
      <w:sz w:val="22"/>
      <w:lang w:val="en-US"/>
    </w:rPr>
  </w:style>
  <w:style w:type="paragraph" w:styleId="Nagwek6">
    <w:name w:val="heading 6"/>
    <w:basedOn w:val="Normalny"/>
    <w:next w:val="Normalny"/>
    <w:link w:val="Nagwek6Znak"/>
    <w:uiPriority w:val="99"/>
    <w:semiHidden/>
    <w:rsid w:val="00A60113"/>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Nagwek7">
    <w:name w:val="heading 7"/>
    <w:basedOn w:val="Normalny"/>
    <w:next w:val="Normalny"/>
    <w:link w:val="Nagwek7Znak"/>
    <w:uiPriority w:val="99"/>
    <w:semiHidden/>
    <w:qFormat/>
    <w:rsid w:val="00A60113"/>
    <w:pPr>
      <w:outlineLvl w:val="6"/>
    </w:pPr>
    <w:rPr>
      <w:rFonts w:asciiTheme="majorHAnsi" w:eastAsiaTheme="majorEastAsia" w:hAnsiTheme="majorHAnsi" w:cstheme="majorBidi"/>
      <w:i/>
      <w:iCs/>
      <w:sz w:val="22"/>
      <w:lang w:val="en-US" w:bidi="en-US"/>
    </w:rPr>
  </w:style>
  <w:style w:type="paragraph" w:styleId="Nagwek8">
    <w:name w:val="heading 8"/>
    <w:basedOn w:val="Normalny"/>
    <w:next w:val="Normalny"/>
    <w:link w:val="Nagwek8Znak"/>
    <w:uiPriority w:val="99"/>
    <w:semiHidden/>
    <w:qFormat/>
    <w:rsid w:val="00A60113"/>
    <w:pPr>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9"/>
    <w:semiHidden/>
    <w:qFormat/>
    <w:rsid w:val="00A60113"/>
    <w:pPr>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A60113"/>
    <w:rPr>
      <w:rFonts w:ascii="Tahoma" w:hAnsi="Tahoma" w:cs="Tahoma"/>
      <w:sz w:val="16"/>
      <w:szCs w:val="16"/>
    </w:rPr>
  </w:style>
  <w:style w:type="character" w:customStyle="1" w:styleId="TekstdymkaZnak">
    <w:name w:val="Tekst dymka Znak"/>
    <w:basedOn w:val="Domylnaczcionkaakapitu"/>
    <w:link w:val="Tekstdymka"/>
    <w:uiPriority w:val="99"/>
    <w:semiHidden/>
    <w:rsid w:val="00A60113"/>
    <w:rPr>
      <w:rFonts w:ascii="Tahoma" w:eastAsiaTheme="minorEastAsia" w:hAnsi="Tahoma" w:cs="Tahoma"/>
      <w:sz w:val="16"/>
      <w:szCs w:val="16"/>
      <w:lang w:val="en-GB"/>
    </w:rPr>
  </w:style>
  <w:style w:type="character" w:styleId="Tytuksiki">
    <w:name w:val="Book Title"/>
    <w:uiPriority w:val="99"/>
    <w:semiHidden/>
    <w:qFormat/>
    <w:rsid w:val="00A60113"/>
    <w:rPr>
      <w:i/>
      <w:iCs/>
      <w:smallCaps/>
      <w:spacing w:val="5"/>
    </w:rPr>
  </w:style>
  <w:style w:type="paragraph" w:customStyle="1" w:styleId="ECHRHeader">
    <w:name w:val="ECHR_Header"/>
    <w:aliases w:val="Ju_Header"/>
    <w:basedOn w:val="Nagwek"/>
    <w:uiPriority w:val="4"/>
    <w:qFormat/>
    <w:rsid w:val="00A60113"/>
    <w:pPr>
      <w:tabs>
        <w:tab w:val="clear" w:pos="4536"/>
        <w:tab w:val="clear" w:pos="9072"/>
        <w:tab w:val="center" w:pos="3686"/>
        <w:tab w:val="right" w:pos="7371"/>
      </w:tabs>
      <w:jc w:val="left"/>
    </w:pPr>
    <w:rPr>
      <w:sz w:val="18"/>
    </w:rPr>
  </w:style>
  <w:style w:type="paragraph" w:customStyle="1" w:styleId="ECHRFooter">
    <w:name w:val="ECHR_Footer"/>
    <w:aliases w:val="Footer_ECHR"/>
    <w:basedOn w:val="Stopka"/>
    <w:uiPriority w:val="57"/>
    <w:semiHidden/>
    <w:rsid w:val="00A60113"/>
    <w:pPr>
      <w:jc w:val="left"/>
    </w:pPr>
    <w:rPr>
      <w:sz w:val="8"/>
    </w:rPr>
  </w:style>
  <w:style w:type="character" w:styleId="Pogrubienie">
    <w:name w:val="Strong"/>
    <w:uiPriority w:val="99"/>
    <w:semiHidden/>
    <w:qFormat/>
    <w:rsid w:val="00A60113"/>
    <w:rPr>
      <w:b/>
      <w:bCs/>
    </w:rPr>
  </w:style>
  <w:style w:type="paragraph" w:styleId="Bezodstpw">
    <w:name w:val="No Spacing"/>
    <w:basedOn w:val="Normalny"/>
    <w:link w:val="BezodstpwZnak"/>
    <w:semiHidden/>
    <w:qFormat/>
    <w:rsid w:val="00A60113"/>
    <w:rPr>
      <w:sz w:val="22"/>
      <w:lang w:val="en-US"/>
    </w:rPr>
  </w:style>
  <w:style w:type="character" w:customStyle="1" w:styleId="BezodstpwZnak">
    <w:name w:val="Bez odstępów Znak"/>
    <w:basedOn w:val="Domylnaczcionkaakapitu"/>
    <w:link w:val="Bezodstpw"/>
    <w:semiHidden/>
    <w:rsid w:val="00A60113"/>
    <w:rPr>
      <w:rFonts w:eastAsiaTheme="minorEastAsia"/>
    </w:rPr>
  </w:style>
  <w:style w:type="paragraph" w:customStyle="1" w:styleId="ECHRFooterLine">
    <w:name w:val="ECHR_Footer_Line"/>
    <w:aliases w:val="Footer_Line"/>
    <w:basedOn w:val="Normalny"/>
    <w:next w:val="ECHRFooter"/>
    <w:uiPriority w:val="57"/>
    <w:semiHidden/>
    <w:rsid w:val="00A60113"/>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A60113"/>
  </w:style>
  <w:style w:type="paragraph" w:customStyle="1" w:styleId="DecList">
    <w:name w:val="Dec_List"/>
    <w:basedOn w:val="Normalny"/>
    <w:uiPriority w:val="9"/>
    <w:semiHidden/>
    <w:qFormat/>
    <w:rsid w:val="00A60113"/>
    <w:pPr>
      <w:spacing w:before="240"/>
      <w:ind w:left="284"/>
    </w:pPr>
  </w:style>
  <w:style w:type="paragraph" w:customStyle="1" w:styleId="DummyStyle">
    <w:name w:val="Dummy_Style"/>
    <w:basedOn w:val="Normalny"/>
    <w:semiHidden/>
    <w:qFormat/>
    <w:rsid w:val="00A60113"/>
    <w:rPr>
      <w:color w:val="00B050"/>
    </w:rPr>
  </w:style>
  <w:style w:type="paragraph" w:customStyle="1" w:styleId="ECHRTitleCentre3">
    <w:name w:val="ECHR_Title_Centre_3"/>
    <w:aliases w:val="Ju_H_Article"/>
    <w:basedOn w:val="Normalny"/>
    <w:next w:val="ECHRParaQuote"/>
    <w:uiPriority w:val="27"/>
    <w:qFormat/>
    <w:rsid w:val="00A60113"/>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ny"/>
    <w:next w:val="OpiPara"/>
    <w:uiPriority w:val="39"/>
    <w:qFormat/>
    <w:rsid w:val="00A60113"/>
    <w:pPr>
      <w:keepNext/>
      <w:keepLines/>
      <w:spacing w:after="240"/>
      <w:jc w:val="center"/>
      <w:outlineLvl w:val="0"/>
    </w:pPr>
    <w:rPr>
      <w:rFonts w:asciiTheme="majorHAnsi" w:hAnsiTheme="majorHAnsi"/>
      <w:sz w:val="28"/>
    </w:rPr>
  </w:style>
  <w:style w:type="paragraph" w:customStyle="1" w:styleId="JuAppQuestion">
    <w:name w:val="Ju_App_Question"/>
    <w:basedOn w:val="Normalny"/>
    <w:uiPriority w:val="5"/>
    <w:semiHidden/>
    <w:qFormat/>
    <w:rsid w:val="00A60113"/>
    <w:pPr>
      <w:numPr>
        <w:numId w:val="26"/>
      </w:numPr>
      <w:jc w:val="left"/>
    </w:pPr>
    <w:rPr>
      <w:b/>
    </w:rPr>
  </w:style>
  <w:style w:type="paragraph" w:customStyle="1" w:styleId="JuCourt">
    <w:name w:val="Ju_Court"/>
    <w:basedOn w:val="Normalny"/>
    <w:next w:val="Normalny"/>
    <w:uiPriority w:val="16"/>
    <w:qFormat/>
    <w:rsid w:val="00A60113"/>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A60113"/>
    <w:pPr>
      <w:tabs>
        <w:tab w:val="clear" w:pos="3686"/>
        <w:tab w:val="clear" w:pos="7371"/>
        <w:tab w:val="center" w:pos="6146"/>
        <w:tab w:val="right" w:pos="12293"/>
      </w:tabs>
    </w:pPr>
  </w:style>
  <w:style w:type="paragraph" w:customStyle="1" w:styleId="ECHRTitleCentre2">
    <w:name w:val="ECHR_Title_Centre_2"/>
    <w:aliases w:val="Dec_H_Case"/>
    <w:basedOn w:val="Normalny"/>
    <w:next w:val="ECHRPara"/>
    <w:uiPriority w:val="8"/>
    <w:qFormat/>
    <w:rsid w:val="00A60113"/>
    <w:pPr>
      <w:spacing w:after="240"/>
      <w:jc w:val="center"/>
      <w:outlineLvl w:val="0"/>
    </w:pPr>
    <w:rPr>
      <w:rFonts w:asciiTheme="majorHAnsi" w:hAnsiTheme="majorHAnsi"/>
    </w:rPr>
  </w:style>
  <w:style w:type="paragraph" w:customStyle="1" w:styleId="JuInitialled">
    <w:name w:val="Ju_Initialled"/>
    <w:basedOn w:val="Normalny"/>
    <w:uiPriority w:val="31"/>
    <w:qFormat/>
    <w:rsid w:val="00A60113"/>
    <w:pPr>
      <w:tabs>
        <w:tab w:val="center" w:pos="6407"/>
      </w:tabs>
      <w:spacing w:before="720"/>
      <w:jc w:val="right"/>
    </w:pPr>
  </w:style>
  <w:style w:type="paragraph" w:styleId="Tytu">
    <w:name w:val="Title"/>
    <w:basedOn w:val="Normalny"/>
    <w:next w:val="Normalny"/>
    <w:link w:val="TytuZnak"/>
    <w:uiPriority w:val="99"/>
    <w:semiHidden/>
    <w:qFormat/>
    <w:rsid w:val="00A60113"/>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99"/>
    <w:semiHidden/>
    <w:rsid w:val="00A60113"/>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Nagwek3"/>
    <w:next w:val="ECHRPara"/>
    <w:uiPriority w:val="21"/>
    <w:qFormat/>
    <w:rsid w:val="00A60113"/>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Nagwek4"/>
    <w:next w:val="ECHRPara"/>
    <w:uiPriority w:val="22"/>
    <w:qFormat/>
    <w:rsid w:val="00A60113"/>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Nagwek5"/>
    <w:next w:val="ECHRPara"/>
    <w:uiPriority w:val="23"/>
    <w:qFormat/>
    <w:rsid w:val="00A60113"/>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Nagwek6"/>
    <w:next w:val="ECHRPara"/>
    <w:uiPriority w:val="24"/>
    <w:qFormat/>
    <w:rsid w:val="00A60113"/>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Nagwek7"/>
    <w:next w:val="ECHRPara"/>
    <w:uiPriority w:val="25"/>
    <w:qFormat/>
    <w:rsid w:val="00A60113"/>
    <w:pPr>
      <w:keepNext/>
      <w:keepLines/>
      <w:spacing w:before="240" w:after="120"/>
      <w:ind w:left="1236"/>
    </w:pPr>
    <w:rPr>
      <w:sz w:val="20"/>
      <w:lang w:val="en-GB"/>
    </w:rPr>
  </w:style>
  <w:style w:type="character" w:customStyle="1" w:styleId="JuITMark">
    <w:name w:val="Ju_ITMark"/>
    <w:basedOn w:val="Domylnaczcionkaakapitu"/>
    <w:uiPriority w:val="38"/>
    <w:qFormat/>
    <w:rsid w:val="00A60113"/>
    <w:rPr>
      <w:vanish w:val="0"/>
      <w:color w:val="auto"/>
      <w:sz w:val="14"/>
      <w:bdr w:val="none" w:sz="0" w:space="0" w:color="auto"/>
      <w:shd w:val="clear" w:color="auto" w:fill="BEE5FF" w:themeFill="background1" w:themeFillTint="33"/>
    </w:rPr>
  </w:style>
  <w:style w:type="paragraph" w:customStyle="1" w:styleId="JuListi">
    <w:name w:val="Ju_List_i"/>
    <w:basedOn w:val="Normalny"/>
    <w:next w:val="JuLista"/>
    <w:uiPriority w:val="28"/>
    <w:qFormat/>
    <w:rsid w:val="00A60113"/>
    <w:pPr>
      <w:ind w:left="794"/>
    </w:pPr>
  </w:style>
  <w:style w:type="character" w:customStyle="1" w:styleId="JUNAMES">
    <w:name w:val="JU_NAMES"/>
    <w:uiPriority w:val="17"/>
    <w:qFormat/>
    <w:rsid w:val="00A60113"/>
    <w:rPr>
      <w:caps w:val="0"/>
      <w:smallCaps/>
    </w:rPr>
  </w:style>
  <w:style w:type="paragraph" w:styleId="Nagwek">
    <w:name w:val="header"/>
    <w:basedOn w:val="Normalny"/>
    <w:link w:val="NagwekZnak"/>
    <w:uiPriority w:val="57"/>
    <w:semiHidden/>
    <w:rsid w:val="00A60113"/>
    <w:pPr>
      <w:tabs>
        <w:tab w:val="center" w:pos="4536"/>
        <w:tab w:val="right" w:pos="9072"/>
      </w:tabs>
    </w:pPr>
    <w:rPr>
      <w:rFonts w:eastAsiaTheme="minorHAnsi"/>
    </w:rPr>
  </w:style>
  <w:style w:type="character" w:customStyle="1" w:styleId="NagwekZnak">
    <w:name w:val="Nagłówek Znak"/>
    <w:basedOn w:val="Domylnaczcionkaakapitu"/>
    <w:link w:val="Nagwek"/>
    <w:uiPriority w:val="57"/>
    <w:semiHidden/>
    <w:rsid w:val="00A60113"/>
    <w:rPr>
      <w:sz w:val="24"/>
      <w:lang w:val="en-GB"/>
    </w:rPr>
  </w:style>
  <w:style w:type="character" w:customStyle="1" w:styleId="Nagwek1Znak">
    <w:name w:val="Nagłówek 1 Znak"/>
    <w:basedOn w:val="Domylnaczcionkaakapitu"/>
    <w:link w:val="Nagwek1"/>
    <w:uiPriority w:val="99"/>
    <w:semiHidden/>
    <w:rsid w:val="00A60113"/>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Nagwek1"/>
    <w:next w:val="ECHRPara"/>
    <w:uiPriority w:val="19"/>
    <w:qFormat/>
    <w:rsid w:val="00A60113"/>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Nagwek2"/>
    <w:next w:val="ECHRPara"/>
    <w:uiPriority w:val="20"/>
    <w:qFormat/>
    <w:rsid w:val="00A60113"/>
    <w:pPr>
      <w:keepNext/>
      <w:keepLines/>
      <w:tabs>
        <w:tab w:val="left" w:pos="584"/>
      </w:tabs>
      <w:spacing w:before="360" w:after="240"/>
      <w:ind w:left="584" w:hanging="352"/>
    </w:pPr>
    <w:rPr>
      <w:color w:val="auto"/>
      <w:sz w:val="24"/>
    </w:rPr>
  </w:style>
  <w:style w:type="character" w:customStyle="1" w:styleId="Nagwek2Znak">
    <w:name w:val="Nagłówek 2 Znak"/>
    <w:basedOn w:val="Domylnaczcionkaakapitu"/>
    <w:link w:val="Nagwek2"/>
    <w:uiPriority w:val="99"/>
    <w:semiHidden/>
    <w:rsid w:val="00A60113"/>
    <w:rPr>
      <w:rFonts w:asciiTheme="majorHAnsi" w:eastAsiaTheme="majorEastAsia" w:hAnsiTheme="majorHAnsi" w:cstheme="majorBidi"/>
      <w:b/>
      <w:bCs/>
      <w:color w:val="4D4D4D"/>
      <w:sz w:val="26"/>
      <w:szCs w:val="26"/>
      <w:lang w:val="en-GB"/>
    </w:rPr>
  </w:style>
  <w:style w:type="paragraph" w:customStyle="1" w:styleId="JuQuotSub">
    <w:name w:val="Ju_Quot_Sub"/>
    <w:basedOn w:val="ECHRParaQuote"/>
    <w:uiPriority w:val="15"/>
    <w:qFormat/>
    <w:rsid w:val="00A60113"/>
    <w:pPr>
      <w:ind w:left="567"/>
    </w:pPr>
  </w:style>
  <w:style w:type="paragraph" w:customStyle="1" w:styleId="JuCase">
    <w:name w:val="Ju_Case"/>
    <w:basedOn w:val="Normalny"/>
    <w:next w:val="ECHRPara"/>
    <w:uiPriority w:val="10"/>
    <w:rsid w:val="00A60113"/>
    <w:pPr>
      <w:ind w:firstLine="284"/>
    </w:pPr>
    <w:rPr>
      <w:b/>
    </w:rPr>
  </w:style>
  <w:style w:type="character" w:customStyle="1" w:styleId="Nagwek3Znak">
    <w:name w:val="Nagłówek 3 Znak"/>
    <w:basedOn w:val="Domylnaczcionkaakapitu"/>
    <w:link w:val="Nagwek3"/>
    <w:uiPriority w:val="99"/>
    <w:semiHidden/>
    <w:rsid w:val="00A60113"/>
    <w:rPr>
      <w:rFonts w:asciiTheme="majorHAnsi" w:eastAsiaTheme="majorEastAsia" w:hAnsiTheme="majorHAnsi" w:cstheme="majorBidi"/>
      <w:b/>
      <w:bCs/>
      <w:color w:val="5F5F5F"/>
      <w:sz w:val="24"/>
      <w:lang w:val="en-GB"/>
    </w:rPr>
  </w:style>
  <w:style w:type="character" w:customStyle="1" w:styleId="Nagwek4Znak">
    <w:name w:val="Nagłówek 4 Znak"/>
    <w:basedOn w:val="Domylnaczcionkaakapitu"/>
    <w:link w:val="Nagwek4"/>
    <w:uiPriority w:val="99"/>
    <w:semiHidden/>
    <w:rsid w:val="00A60113"/>
    <w:rPr>
      <w:rFonts w:asciiTheme="majorHAnsi" w:eastAsiaTheme="majorEastAsia" w:hAnsiTheme="majorHAnsi" w:cstheme="majorBidi"/>
      <w:b/>
      <w:bCs/>
      <w:i/>
      <w:iCs/>
      <w:color w:val="777777"/>
      <w:sz w:val="24"/>
      <w:lang w:val="en-GB"/>
    </w:rPr>
  </w:style>
  <w:style w:type="character" w:customStyle="1" w:styleId="Nagwek5Znak">
    <w:name w:val="Nagłówek 5 Znak"/>
    <w:basedOn w:val="Domylnaczcionkaakapitu"/>
    <w:link w:val="Nagwek5"/>
    <w:uiPriority w:val="99"/>
    <w:semiHidden/>
    <w:rsid w:val="00A60113"/>
    <w:rPr>
      <w:rFonts w:asciiTheme="majorHAnsi" w:eastAsiaTheme="majorEastAsia" w:hAnsiTheme="majorHAnsi" w:cstheme="majorBidi"/>
      <w:b/>
      <w:bCs/>
      <w:color w:val="808080"/>
    </w:rPr>
  </w:style>
  <w:style w:type="character" w:styleId="Wyrnieniedelikatne">
    <w:name w:val="Subtle Emphasis"/>
    <w:uiPriority w:val="99"/>
    <w:semiHidden/>
    <w:qFormat/>
    <w:rsid w:val="00A60113"/>
    <w:rPr>
      <w:i/>
      <w:iCs/>
    </w:rPr>
  </w:style>
  <w:style w:type="table" w:customStyle="1" w:styleId="ECHRTable">
    <w:name w:val="ECHR_Table"/>
    <w:basedOn w:val="Standardowy"/>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Standardowy"/>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ny"/>
    <w:next w:val="ECHRPara"/>
    <w:uiPriority w:val="18"/>
    <w:qFormat/>
    <w:rsid w:val="00A60113"/>
    <w:pPr>
      <w:keepNext/>
      <w:keepLines/>
      <w:spacing w:before="720" w:after="240"/>
      <w:outlineLvl w:val="0"/>
    </w:pPr>
    <w:rPr>
      <w:rFonts w:asciiTheme="majorHAnsi" w:hAnsiTheme="majorHAnsi"/>
      <w:sz w:val="28"/>
    </w:rPr>
  </w:style>
  <w:style w:type="character" w:styleId="Uwydatnienie">
    <w:name w:val="Emphasis"/>
    <w:uiPriority w:val="99"/>
    <w:semiHidden/>
    <w:qFormat/>
    <w:rsid w:val="00A60113"/>
    <w:rPr>
      <w:b/>
      <w:bCs/>
      <w:i/>
      <w:iCs/>
      <w:spacing w:val="10"/>
      <w:bdr w:val="none" w:sz="0" w:space="0" w:color="auto"/>
      <w:shd w:val="clear" w:color="auto" w:fill="auto"/>
    </w:rPr>
  </w:style>
  <w:style w:type="paragraph" w:styleId="Stopka">
    <w:name w:val="footer"/>
    <w:basedOn w:val="Normalny"/>
    <w:link w:val="StopkaZnak"/>
    <w:uiPriority w:val="57"/>
    <w:semiHidden/>
    <w:rsid w:val="00A60113"/>
    <w:pPr>
      <w:tabs>
        <w:tab w:val="center" w:pos="4536"/>
        <w:tab w:val="right" w:pos="9696"/>
      </w:tabs>
      <w:ind w:left="-680" w:right="-680"/>
    </w:pPr>
    <w:rPr>
      <w:rFonts w:eastAsiaTheme="minorHAnsi"/>
    </w:rPr>
  </w:style>
  <w:style w:type="character" w:customStyle="1" w:styleId="StopkaZnak">
    <w:name w:val="Stopka Znak"/>
    <w:basedOn w:val="Domylnaczcionkaakapitu"/>
    <w:link w:val="Stopka"/>
    <w:uiPriority w:val="57"/>
    <w:semiHidden/>
    <w:rsid w:val="00A60113"/>
    <w:rPr>
      <w:sz w:val="24"/>
      <w:lang w:val="en-GB"/>
    </w:rPr>
  </w:style>
  <w:style w:type="character" w:styleId="Odwoanieprzypisudolnego">
    <w:name w:val="footnote reference"/>
    <w:basedOn w:val="Domylnaczcionkaakapitu"/>
    <w:uiPriority w:val="99"/>
    <w:semiHidden/>
    <w:rsid w:val="00A60113"/>
    <w:rPr>
      <w:vertAlign w:val="superscript"/>
    </w:rPr>
  </w:style>
  <w:style w:type="paragraph" w:styleId="Tekstprzypisudolnego">
    <w:name w:val="footnote text"/>
    <w:basedOn w:val="Normalny"/>
    <w:link w:val="TekstprzypisudolnegoZnak"/>
    <w:uiPriority w:val="99"/>
    <w:semiHidden/>
    <w:rsid w:val="00A60113"/>
    <w:rPr>
      <w:sz w:val="20"/>
      <w:szCs w:val="20"/>
    </w:rPr>
  </w:style>
  <w:style w:type="character" w:customStyle="1" w:styleId="TekstprzypisudolnegoZnak">
    <w:name w:val="Tekst przypisu dolnego Znak"/>
    <w:basedOn w:val="Domylnaczcionkaakapitu"/>
    <w:link w:val="Tekstprzypisudolnego"/>
    <w:uiPriority w:val="99"/>
    <w:semiHidden/>
    <w:rsid w:val="00A60113"/>
    <w:rPr>
      <w:rFonts w:eastAsiaTheme="minorEastAsia"/>
      <w:sz w:val="20"/>
      <w:szCs w:val="20"/>
      <w:lang w:val="en-GB"/>
    </w:rPr>
  </w:style>
  <w:style w:type="character" w:customStyle="1" w:styleId="Nagwek6Znak">
    <w:name w:val="Nagłówek 6 Znak"/>
    <w:basedOn w:val="Domylnaczcionkaakapitu"/>
    <w:link w:val="Nagwek6"/>
    <w:uiPriority w:val="99"/>
    <w:semiHidden/>
    <w:rsid w:val="00A60113"/>
    <w:rPr>
      <w:rFonts w:asciiTheme="majorHAnsi" w:eastAsiaTheme="majorEastAsia" w:hAnsiTheme="majorHAnsi" w:cstheme="majorBidi"/>
      <w:b/>
      <w:bCs/>
      <w:i/>
      <w:iCs/>
      <w:color w:val="7F7F7F" w:themeColor="text1" w:themeTint="80"/>
      <w:sz w:val="24"/>
      <w:lang w:val="en-GB" w:bidi="en-US"/>
    </w:rPr>
  </w:style>
  <w:style w:type="character" w:customStyle="1" w:styleId="Nagwek7Znak">
    <w:name w:val="Nagłówek 7 Znak"/>
    <w:basedOn w:val="Domylnaczcionkaakapitu"/>
    <w:link w:val="Nagwek7"/>
    <w:uiPriority w:val="99"/>
    <w:semiHidden/>
    <w:rsid w:val="00A60113"/>
    <w:rPr>
      <w:rFonts w:asciiTheme="majorHAnsi" w:eastAsiaTheme="majorEastAsia" w:hAnsiTheme="majorHAnsi" w:cstheme="majorBidi"/>
      <w:i/>
      <w:iCs/>
      <w:lang w:bidi="en-US"/>
    </w:rPr>
  </w:style>
  <w:style w:type="character" w:customStyle="1" w:styleId="Nagwek8Znak">
    <w:name w:val="Nagłówek 8 Znak"/>
    <w:basedOn w:val="Domylnaczcionkaakapitu"/>
    <w:link w:val="Nagwek8"/>
    <w:uiPriority w:val="99"/>
    <w:semiHidden/>
    <w:rsid w:val="00A60113"/>
    <w:rPr>
      <w:rFonts w:asciiTheme="majorHAnsi" w:eastAsiaTheme="majorEastAsia" w:hAnsiTheme="majorHAnsi" w:cstheme="majorBidi"/>
      <w:sz w:val="20"/>
      <w:szCs w:val="20"/>
      <w:lang w:bidi="en-US"/>
    </w:rPr>
  </w:style>
  <w:style w:type="character" w:customStyle="1" w:styleId="Nagwek9Znak">
    <w:name w:val="Nagłówek 9 Znak"/>
    <w:basedOn w:val="Domylnaczcionkaakapitu"/>
    <w:link w:val="Nagwek9"/>
    <w:uiPriority w:val="99"/>
    <w:semiHidden/>
    <w:rsid w:val="00A60113"/>
    <w:rPr>
      <w:rFonts w:asciiTheme="majorHAnsi" w:eastAsiaTheme="majorEastAsia" w:hAnsiTheme="majorHAnsi" w:cstheme="majorBidi"/>
      <w:i/>
      <w:iCs/>
      <w:spacing w:val="5"/>
      <w:sz w:val="20"/>
      <w:szCs w:val="20"/>
      <w:lang w:bidi="en-US"/>
    </w:rPr>
  </w:style>
  <w:style w:type="character" w:styleId="Hipercze">
    <w:name w:val="Hyperlink"/>
    <w:basedOn w:val="Domylnaczcionkaakapitu"/>
    <w:uiPriority w:val="99"/>
    <w:semiHidden/>
    <w:rsid w:val="00A60113"/>
    <w:rPr>
      <w:color w:val="0072BC" w:themeColor="hyperlink"/>
      <w:u w:val="single"/>
    </w:rPr>
  </w:style>
  <w:style w:type="character" w:styleId="Wyrnienieintensywne">
    <w:name w:val="Intense Emphasis"/>
    <w:uiPriority w:val="99"/>
    <w:semiHidden/>
    <w:qFormat/>
    <w:rsid w:val="00A60113"/>
    <w:rPr>
      <w:b/>
      <w:bCs/>
    </w:rPr>
  </w:style>
  <w:style w:type="paragraph" w:styleId="Cytatintensywny">
    <w:name w:val="Intense Quote"/>
    <w:basedOn w:val="Normalny"/>
    <w:next w:val="Normalny"/>
    <w:link w:val="CytatintensywnyZnak"/>
    <w:uiPriority w:val="99"/>
    <w:semiHidden/>
    <w:qFormat/>
    <w:rsid w:val="00A60113"/>
    <w:pPr>
      <w:pBdr>
        <w:bottom w:val="single" w:sz="4" w:space="1" w:color="auto"/>
      </w:pBdr>
      <w:spacing w:before="200" w:after="280"/>
      <w:ind w:left="1008" w:right="1152"/>
    </w:pPr>
    <w:rPr>
      <w:b/>
      <w:bCs/>
      <w:i/>
      <w:iCs/>
      <w:sz w:val="22"/>
      <w:lang w:val="en-US" w:bidi="en-US"/>
    </w:rPr>
  </w:style>
  <w:style w:type="character" w:customStyle="1" w:styleId="CytatintensywnyZnak">
    <w:name w:val="Cytat intensywny Znak"/>
    <w:basedOn w:val="Domylnaczcionkaakapitu"/>
    <w:link w:val="Cytatintensywny"/>
    <w:uiPriority w:val="99"/>
    <w:semiHidden/>
    <w:rsid w:val="00A60113"/>
    <w:rPr>
      <w:rFonts w:eastAsiaTheme="minorEastAsia"/>
      <w:b/>
      <w:bCs/>
      <w:i/>
      <w:iCs/>
      <w:lang w:bidi="en-US"/>
    </w:rPr>
  </w:style>
  <w:style w:type="character" w:styleId="Odwoanieintensywne">
    <w:name w:val="Intense Reference"/>
    <w:uiPriority w:val="99"/>
    <w:semiHidden/>
    <w:qFormat/>
    <w:rsid w:val="00A60113"/>
    <w:rPr>
      <w:smallCaps/>
      <w:spacing w:val="5"/>
      <w:u w:val="single"/>
    </w:rPr>
  </w:style>
  <w:style w:type="paragraph" w:styleId="Akapitzlist">
    <w:name w:val="List Paragraph"/>
    <w:basedOn w:val="Normalny"/>
    <w:uiPriority w:val="99"/>
    <w:semiHidden/>
    <w:qFormat/>
    <w:rsid w:val="00A60113"/>
    <w:pPr>
      <w:ind w:left="720"/>
      <w:contextualSpacing/>
    </w:pPr>
  </w:style>
  <w:style w:type="table" w:customStyle="1" w:styleId="LtrTableAddress">
    <w:name w:val="Ltr_Table_Address"/>
    <w:basedOn w:val="Standardowy"/>
    <w:uiPriority w:val="99"/>
    <w:rsid w:val="001E6F32"/>
    <w:tblPr>
      <w:tblInd w:w="5103" w:type="dxa"/>
    </w:tblPr>
  </w:style>
  <w:style w:type="paragraph" w:styleId="Cytat">
    <w:name w:val="Quote"/>
    <w:basedOn w:val="Normalny"/>
    <w:next w:val="Normalny"/>
    <w:link w:val="CytatZnak"/>
    <w:uiPriority w:val="99"/>
    <w:semiHidden/>
    <w:qFormat/>
    <w:rsid w:val="00A60113"/>
    <w:pPr>
      <w:spacing w:before="200"/>
      <w:ind w:left="360" w:right="360"/>
    </w:pPr>
    <w:rPr>
      <w:i/>
      <w:iCs/>
      <w:sz w:val="22"/>
      <w:lang w:val="en-US" w:bidi="en-US"/>
    </w:rPr>
  </w:style>
  <w:style w:type="character" w:customStyle="1" w:styleId="CytatZnak">
    <w:name w:val="Cytat Znak"/>
    <w:basedOn w:val="Domylnaczcionkaakapitu"/>
    <w:link w:val="Cytat"/>
    <w:uiPriority w:val="99"/>
    <w:semiHidden/>
    <w:rsid w:val="00A60113"/>
    <w:rPr>
      <w:rFonts w:eastAsiaTheme="minorEastAsia"/>
      <w:i/>
      <w:iCs/>
      <w:lang w:bidi="en-US"/>
    </w:rPr>
  </w:style>
  <w:style w:type="character" w:styleId="Odwoaniedelikatne">
    <w:name w:val="Subtle Reference"/>
    <w:uiPriority w:val="99"/>
    <w:semiHidden/>
    <w:qFormat/>
    <w:rsid w:val="00A60113"/>
    <w:rPr>
      <w:smallCaps/>
    </w:rPr>
  </w:style>
  <w:style w:type="table" w:styleId="Tabela-Siatka">
    <w:name w:val="Table Grid"/>
    <w:basedOn w:val="Standardowy"/>
    <w:uiPriority w:val="59"/>
    <w:semiHidden/>
    <w:rsid w:val="00A6011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99"/>
    <w:semiHidden/>
    <w:rsid w:val="00A60113"/>
    <w:pPr>
      <w:keepNext/>
      <w:tabs>
        <w:tab w:val="right" w:leader="dot" w:pos="7371"/>
      </w:tabs>
      <w:spacing w:before="160" w:after="60" w:line="240" w:lineRule="exact"/>
      <w:ind w:left="340" w:right="567" w:hanging="340"/>
    </w:pPr>
    <w:rPr>
      <w:b/>
      <w:sz w:val="22"/>
    </w:rPr>
  </w:style>
  <w:style w:type="paragraph" w:styleId="Spistreci2">
    <w:name w:val="toc 2"/>
    <w:basedOn w:val="Normalny"/>
    <w:next w:val="Normalny"/>
    <w:autoRedefine/>
    <w:uiPriority w:val="99"/>
    <w:semiHidden/>
    <w:rsid w:val="00A60113"/>
    <w:pPr>
      <w:keepNext/>
      <w:tabs>
        <w:tab w:val="right" w:leader="dot" w:pos="7371"/>
      </w:tabs>
      <w:spacing w:after="60" w:line="240" w:lineRule="exact"/>
      <w:ind w:left="680" w:right="567" w:hanging="340"/>
    </w:pPr>
    <w:rPr>
      <w:sz w:val="22"/>
    </w:rPr>
  </w:style>
  <w:style w:type="paragraph" w:styleId="Spistreci3">
    <w:name w:val="toc 3"/>
    <w:basedOn w:val="Normalny"/>
    <w:next w:val="Normalny"/>
    <w:autoRedefine/>
    <w:uiPriority w:val="99"/>
    <w:semiHidden/>
    <w:rsid w:val="00A60113"/>
    <w:pPr>
      <w:keepNext/>
      <w:tabs>
        <w:tab w:val="right" w:leader="dot" w:pos="7371"/>
      </w:tabs>
      <w:spacing w:after="60" w:line="240" w:lineRule="exact"/>
      <w:ind w:left="1020" w:right="567" w:hanging="340"/>
    </w:pPr>
    <w:rPr>
      <w:sz w:val="20"/>
    </w:rPr>
  </w:style>
  <w:style w:type="paragraph" w:styleId="Spistreci4">
    <w:name w:val="toc 4"/>
    <w:basedOn w:val="Normalny"/>
    <w:next w:val="Normalny"/>
    <w:autoRedefine/>
    <w:uiPriority w:val="99"/>
    <w:semiHidden/>
    <w:rsid w:val="00A60113"/>
    <w:pPr>
      <w:tabs>
        <w:tab w:val="right" w:leader="dot" w:pos="7371"/>
      </w:tabs>
      <w:spacing w:after="60" w:line="240" w:lineRule="exact"/>
      <w:ind w:left="1361" w:right="567" w:hanging="340"/>
    </w:pPr>
    <w:rPr>
      <w:sz w:val="20"/>
    </w:rPr>
  </w:style>
  <w:style w:type="paragraph" w:styleId="Spistreci5">
    <w:name w:val="toc 5"/>
    <w:basedOn w:val="Normalny"/>
    <w:next w:val="Normalny"/>
    <w:autoRedefine/>
    <w:uiPriority w:val="99"/>
    <w:semiHidden/>
    <w:rsid w:val="00A60113"/>
    <w:pPr>
      <w:tabs>
        <w:tab w:val="right" w:leader="dot" w:pos="7371"/>
      </w:tabs>
      <w:spacing w:after="60" w:line="240" w:lineRule="exact"/>
      <w:ind w:left="1701" w:right="567" w:hanging="340"/>
    </w:pPr>
    <w:rPr>
      <w:sz w:val="20"/>
    </w:rPr>
  </w:style>
  <w:style w:type="paragraph" w:styleId="Nagwekspisutreci">
    <w:name w:val="TOC Heading"/>
    <w:basedOn w:val="Normalny"/>
    <w:next w:val="Normalny"/>
    <w:uiPriority w:val="99"/>
    <w:semiHidden/>
    <w:qFormat/>
    <w:rsid w:val="00A60113"/>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Standardowy"/>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Standardowy"/>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Standardowy"/>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Standardowy"/>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Standardowy"/>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Standardowy"/>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Nagwekwykazurde">
    <w:name w:val="toa heading"/>
    <w:basedOn w:val="Normalny"/>
    <w:next w:val="Normalny"/>
    <w:uiPriority w:val="99"/>
    <w:semiHidden/>
    <w:rsid w:val="00A60113"/>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ny"/>
    <w:uiPriority w:val="14"/>
    <w:qFormat/>
    <w:rsid w:val="00A60113"/>
    <w:pPr>
      <w:spacing w:before="120" w:after="120"/>
      <w:ind w:left="425" w:firstLine="142"/>
    </w:pPr>
    <w:rPr>
      <w:sz w:val="20"/>
    </w:rPr>
  </w:style>
  <w:style w:type="paragraph" w:customStyle="1" w:styleId="ECHRPara">
    <w:name w:val="ECHR_Para"/>
    <w:aliases w:val="Ju_Para"/>
    <w:basedOn w:val="Normalny"/>
    <w:link w:val="ECHRParaChar"/>
    <w:uiPriority w:val="12"/>
    <w:qFormat/>
    <w:rsid w:val="00A60113"/>
    <w:pPr>
      <w:ind w:firstLine="284"/>
    </w:pPr>
  </w:style>
  <w:style w:type="table" w:customStyle="1" w:styleId="ECHRTableSimpleBox">
    <w:name w:val="ECHR_Table_Simple_Box"/>
    <w:basedOn w:val="Standardowy"/>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Standardowy"/>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Standardowy"/>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Standardowy"/>
    <w:uiPriority w:val="99"/>
    <w:rsid w:val="00A60113"/>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Standardowy"/>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Standardowy"/>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ny"/>
    <w:uiPriority w:val="11"/>
    <w:qFormat/>
    <w:rsid w:val="00A60113"/>
    <w:pPr>
      <w:tabs>
        <w:tab w:val="left" w:pos="567"/>
        <w:tab w:val="left" w:pos="1134"/>
      </w:tabs>
      <w:jc w:val="left"/>
    </w:pPr>
  </w:style>
  <w:style w:type="table" w:customStyle="1" w:styleId="ECHRHeaderTableReduced">
    <w:name w:val="ECHR_Header_Table_Reduced"/>
    <w:basedOn w:val="Standardowy"/>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ny"/>
    <w:uiPriority w:val="28"/>
    <w:qFormat/>
    <w:rsid w:val="00A60113"/>
    <w:pPr>
      <w:ind w:left="340" w:hanging="340"/>
    </w:pPr>
  </w:style>
  <w:style w:type="paragraph" w:customStyle="1" w:styleId="JuSigned">
    <w:name w:val="Ju_Signed"/>
    <w:basedOn w:val="Normalny"/>
    <w:next w:val="JuParaLast"/>
    <w:uiPriority w:val="32"/>
    <w:qFormat/>
    <w:rsid w:val="00A60113"/>
    <w:pPr>
      <w:tabs>
        <w:tab w:val="center" w:pos="851"/>
        <w:tab w:val="center" w:pos="6407"/>
      </w:tabs>
      <w:spacing w:before="720"/>
      <w:jc w:val="left"/>
    </w:pPr>
  </w:style>
  <w:style w:type="paragraph" w:customStyle="1" w:styleId="JuParaLast">
    <w:name w:val="Ju_Para_Last"/>
    <w:basedOn w:val="Normalny"/>
    <w:next w:val="ECHRPara"/>
    <w:uiPriority w:val="30"/>
    <w:qFormat/>
    <w:rsid w:val="00A60113"/>
    <w:pPr>
      <w:keepNext/>
      <w:keepLines/>
      <w:spacing w:before="240"/>
      <w:ind w:firstLine="284"/>
    </w:pPr>
  </w:style>
  <w:style w:type="paragraph" w:customStyle="1" w:styleId="JuParaSub">
    <w:name w:val="Ju_Para_Sub"/>
    <w:basedOn w:val="ECHRPara"/>
    <w:uiPriority w:val="13"/>
    <w:qFormat/>
    <w:rsid w:val="00A60113"/>
    <w:pPr>
      <w:ind w:left="284"/>
    </w:pPr>
  </w:style>
  <w:style w:type="character" w:styleId="Numerstrony">
    <w:name w:val="page number"/>
    <w:uiPriority w:val="99"/>
    <w:semiHidden/>
    <w:rsid w:val="00014566"/>
    <w:rPr>
      <w:sz w:val="18"/>
    </w:rPr>
  </w:style>
  <w:style w:type="paragraph" w:customStyle="1" w:styleId="JuLista">
    <w:name w:val="Ju_List_a"/>
    <w:basedOn w:val="JuList"/>
    <w:uiPriority w:val="28"/>
    <w:qFormat/>
    <w:rsid w:val="00A60113"/>
    <w:pPr>
      <w:ind w:left="346" w:firstLine="0"/>
    </w:pPr>
  </w:style>
  <w:style w:type="paragraph" w:customStyle="1" w:styleId="JuTitle">
    <w:name w:val="Ju_Title"/>
    <w:basedOn w:val="Normalny"/>
    <w:next w:val="ECHRPara"/>
    <w:uiPriority w:val="3"/>
    <w:semiHidden/>
    <w:qFormat/>
    <w:rsid w:val="00A60113"/>
    <w:pPr>
      <w:spacing w:before="720" w:after="240"/>
      <w:jc w:val="center"/>
      <w:outlineLvl w:val="0"/>
    </w:pPr>
    <w:rPr>
      <w:rFonts w:asciiTheme="majorHAnsi" w:hAnsiTheme="majorHAnsi"/>
      <w:b/>
      <w:caps/>
    </w:rPr>
  </w:style>
  <w:style w:type="character" w:styleId="Odwoaniedokomentarza">
    <w:name w:val="annotation reference"/>
    <w:uiPriority w:val="99"/>
    <w:semiHidden/>
    <w:rsid w:val="00014566"/>
    <w:rPr>
      <w:sz w:val="16"/>
    </w:rPr>
  </w:style>
  <w:style w:type="paragraph" w:styleId="Tekstkomentarza">
    <w:name w:val="annotation text"/>
    <w:basedOn w:val="Normalny"/>
    <w:link w:val="TekstkomentarzaZnak"/>
    <w:uiPriority w:val="99"/>
    <w:semiHidden/>
    <w:rsid w:val="00014566"/>
    <w:rPr>
      <w:sz w:val="20"/>
    </w:rPr>
  </w:style>
  <w:style w:type="character" w:customStyle="1" w:styleId="TekstkomentarzaZnak">
    <w:name w:val="Tekst komentarza Znak"/>
    <w:basedOn w:val="Domylnaczcionkaakapitu"/>
    <w:link w:val="Tekstkomentarza"/>
    <w:uiPriority w:val="99"/>
    <w:semiHidden/>
    <w:rsid w:val="00014566"/>
    <w:rPr>
      <w:rFonts w:eastAsiaTheme="minorEastAsia"/>
      <w:sz w:val="20"/>
    </w:rPr>
  </w:style>
  <w:style w:type="paragraph" w:styleId="Tematkomentarza">
    <w:name w:val="annotation subject"/>
    <w:basedOn w:val="Tekstkomentarza"/>
    <w:next w:val="Tekstkomentarza"/>
    <w:link w:val="TematkomentarzaZnak"/>
    <w:uiPriority w:val="99"/>
    <w:semiHidden/>
    <w:rsid w:val="00014566"/>
    <w:rPr>
      <w:b/>
      <w:bCs/>
    </w:rPr>
  </w:style>
  <w:style w:type="character" w:customStyle="1" w:styleId="TematkomentarzaZnak">
    <w:name w:val="Temat komentarza Znak"/>
    <w:basedOn w:val="TekstkomentarzaZnak"/>
    <w:link w:val="Tematkomentarza"/>
    <w:uiPriority w:val="99"/>
    <w:semiHidden/>
    <w:rsid w:val="00014566"/>
    <w:rPr>
      <w:rFonts w:eastAsiaTheme="minorEastAsia"/>
      <w:b/>
      <w:bCs/>
      <w:sz w:val="20"/>
    </w:rPr>
  </w:style>
  <w:style w:type="character" w:styleId="Odwoanieprzypisukocowego">
    <w:name w:val="endnote reference"/>
    <w:basedOn w:val="Domylnaczcionkaakapitu"/>
    <w:uiPriority w:val="99"/>
    <w:semiHidden/>
    <w:rsid w:val="00A60113"/>
    <w:rPr>
      <w:vertAlign w:val="superscript"/>
    </w:rPr>
  </w:style>
  <w:style w:type="paragraph" w:styleId="Tekstprzypisukocowego">
    <w:name w:val="endnote text"/>
    <w:basedOn w:val="Normalny"/>
    <w:link w:val="TekstprzypisukocowegoZnak"/>
    <w:uiPriority w:val="99"/>
    <w:semiHidden/>
    <w:rsid w:val="00A60113"/>
    <w:rPr>
      <w:sz w:val="20"/>
      <w:szCs w:val="20"/>
    </w:rPr>
  </w:style>
  <w:style w:type="character" w:customStyle="1" w:styleId="TekstprzypisukocowegoZnak">
    <w:name w:val="Tekst przypisu końcowego Znak"/>
    <w:basedOn w:val="Domylnaczcionkaakapitu"/>
    <w:link w:val="Tekstprzypisukocowego"/>
    <w:uiPriority w:val="99"/>
    <w:semiHidden/>
    <w:rsid w:val="00A60113"/>
    <w:rPr>
      <w:rFonts w:eastAsiaTheme="minorEastAsia"/>
      <w:sz w:val="20"/>
      <w:szCs w:val="20"/>
      <w:lang w:val="en-GB"/>
    </w:rPr>
  </w:style>
  <w:style w:type="character" w:styleId="UyteHipercze">
    <w:name w:val="FollowedHyperlink"/>
    <w:uiPriority w:val="99"/>
    <w:semiHidden/>
    <w:rsid w:val="00014566"/>
    <w:rPr>
      <w:color w:val="800080"/>
      <w:u w:val="single"/>
    </w:rPr>
  </w:style>
  <w:style w:type="paragraph" w:styleId="Mapadokumentu">
    <w:name w:val="Document Map"/>
    <w:basedOn w:val="Normalny"/>
    <w:link w:val="MapadokumentuZnak"/>
    <w:uiPriority w:val="99"/>
    <w:semiHidden/>
    <w:rsid w:val="00014566"/>
    <w:pPr>
      <w:shd w:val="clear" w:color="auto" w:fill="000080"/>
    </w:pPr>
    <w:rPr>
      <w:rFonts w:ascii="Tahoma" w:hAnsi="Tahoma" w:cs="Tahoma"/>
      <w:sz w:val="20"/>
    </w:rPr>
  </w:style>
  <w:style w:type="character" w:customStyle="1" w:styleId="MapadokumentuZnak">
    <w:name w:val="Mapa dokumentu Znak"/>
    <w:basedOn w:val="Domylnaczcionkaakapitu"/>
    <w:link w:val="Mapadokumentu"/>
    <w:uiPriority w:val="99"/>
    <w:semiHidden/>
    <w:rsid w:val="00014566"/>
    <w:rPr>
      <w:rFonts w:ascii="Tahoma" w:eastAsiaTheme="minorEastAsia" w:hAnsi="Tahoma" w:cs="Tahoma"/>
      <w:sz w:val="20"/>
      <w:shd w:val="clear" w:color="auto" w:fill="000080"/>
    </w:rPr>
  </w:style>
  <w:style w:type="paragraph" w:customStyle="1" w:styleId="OpiH1">
    <w:name w:val="Opi_H_1"/>
    <w:basedOn w:val="ECHRHeading2"/>
    <w:uiPriority w:val="42"/>
    <w:qFormat/>
    <w:rsid w:val="00A60113"/>
    <w:pPr>
      <w:ind w:left="635" w:hanging="357"/>
      <w:outlineLvl w:val="2"/>
    </w:pPr>
  </w:style>
  <w:style w:type="paragraph" w:styleId="Listapunktowana">
    <w:name w:val="List Bullet"/>
    <w:basedOn w:val="Normalny"/>
    <w:uiPriority w:val="99"/>
    <w:semiHidden/>
    <w:rsid w:val="00014566"/>
    <w:pPr>
      <w:numPr>
        <w:numId w:val="1"/>
      </w:numPr>
    </w:pPr>
  </w:style>
  <w:style w:type="paragraph" w:customStyle="1" w:styleId="OpiHa">
    <w:name w:val="Opi_H_a"/>
    <w:basedOn w:val="ECHRHeading3"/>
    <w:uiPriority w:val="43"/>
    <w:qFormat/>
    <w:rsid w:val="00A60113"/>
    <w:pPr>
      <w:ind w:left="833" w:hanging="357"/>
      <w:outlineLvl w:val="3"/>
    </w:pPr>
    <w:rPr>
      <w:b/>
      <w:i w:val="0"/>
      <w:sz w:val="20"/>
    </w:rPr>
  </w:style>
  <w:style w:type="paragraph" w:styleId="Podtytu">
    <w:name w:val="Subtitle"/>
    <w:basedOn w:val="Normalny"/>
    <w:next w:val="Normalny"/>
    <w:link w:val="PodtytuZnak"/>
    <w:uiPriority w:val="99"/>
    <w:semiHidden/>
    <w:qFormat/>
    <w:rsid w:val="00A60113"/>
    <w:pPr>
      <w:spacing w:after="600"/>
    </w:pPr>
    <w:rPr>
      <w:rFonts w:asciiTheme="majorHAnsi" w:eastAsiaTheme="majorEastAsia" w:hAnsiTheme="majorHAnsi" w:cstheme="majorBidi"/>
      <w:i/>
      <w:iCs/>
      <w:spacing w:val="13"/>
      <w:szCs w:val="24"/>
      <w:lang w:val="en-US" w:bidi="en-US"/>
    </w:rPr>
  </w:style>
  <w:style w:type="character" w:customStyle="1" w:styleId="PodtytuZnak">
    <w:name w:val="Podtytuł Znak"/>
    <w:basedOn w:val="Domylnaczcionkaakapitu"/>
    <w:link w:val="Podtytu"/>
    <w:uiPriority w:val="99"/>
    <w:semiHidden/>
    <w:rsid w:val="00A60113"/>
    <w:rPr>
      <w:rFonts w:asciiTheme="majorHAnsi" w:eastAsiaTheme="majorEastAsia" w:hAnsiTheme="majorHAnsi" w:cstheme="majorBidi"/>
      <w:i/>
      <w:iCs/>
      <w:spacing w:val="13"/>
      <w:sz w:val="24"/>
      <w:szCs w:val="24"/>
      <w:lang w:bidi="en-US"/>
    </w:rPr>
  </w:style>
  <w:style w:type="numbering" w:styleId="111111">
    <w:name w:val="Outline List 2"/>
    <w:basedOn w:val="Bezlisty"/>
    <w:uiPriority w:val="99"/>
    <w:semiHidden/>
    <w:rsid w:val="00014566"/>
    <w:pPr>
      <w:numPr>
        <w:numId w:val="2"/>
      </w:numPr>
    </w:pPr>
  </w:style>
  <w:style w:type="numbering" w:styleId="1ai">
    <w:name w:val="Outline List 1"/>
    <w:basedOn w:val="Bezlisty"/>
    <w:uiPriority w:val="99"/>
    <w:semiHidden/>
    <w:rsid w:val="00014566"/>
    <w:pPr>
      <w:numPr>
        <w:numId w:val="3"/>
      </w:numPr>
    </w:pPr>
  </w:style>
  <w:style w:type="numbering" w:styleId="Artykusekcja">
    <w:name w:val="Outline List 3"/>
    <w:basedOn w:val="Bezlisty"/>
    <w:uiPriority w:val="99"/>
    <w:semiHidden/>
    <w:rsid w:val="00014566"/>
    <w:pPr>
      <w:numPr>
        <w:numId w:val="4"/>
      </w:numPr>
    </w:pPr>
  </w:style>
  <w:style w:type="paragraph" w:styleId="Bibliografia">
    <w:name w:val="Bibliography"/>
    <w:basedOn w:val="Normalny"/>
    <w:next w:val="Normalny"/>
    <w:uiPriority w:val="99"/>
    <w:semiHidden/>
    <w:unhideWhenUsed/>
    <w:rsid w:val="00014566"/>
  </w:style>
  <w:style w:type="paragraph" w:styleId="Tekstblokowy">
    <w:name w:val="Block Text"/>
    <w:basedOn w:val="Normalny"/>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Tekstpodstawowy">
    <w:name w:val="Body Text"/>
    <w:basedOn w:val="Normalny"/>
    <w:link w:val="TekstpodstawowyZnak"/>
    <w:uiPriority w:val="99"/>
    <w:semiHidden/>
    <w:rsid w:val="00014566"/>
    <w:pPr>
      <w:spacing w:after="120"/>
    </w:pPr>
  </w:style>
  <w:style w:type="character" w:customStyle="1" w:styleId="TekstpodstawowyZnak">
    <w:name w:val="Tekst podstawowy Znak"/>
    <w:basedOn w:val="Domylnaczcionkaakapitu"/>
    <w:link w:val="Tekstpodstawowy"/>
    <w:uiPriority w:val="99"/>
    <w:semiHidden/>
    <w:rsid w:val="00014566"/>
    <w:rPr>
      <w:rFonts w:eastAsiaTheme="minorEastAsia"/>
      <w:sz w:val="24"/>
    </w:rPr>
  </w:style>
  <w:style w:type="paragraph" w:styleId="Tekstpodstawowy2">
    <w:name w:val="Body Text 2"/>
    <w:basedOn w:val="Normalny"/>
    <w:link w:val="Tekstpodstawowy2Znak"/>
    <w:uiPriority w:val="99"/>
    <w:semiHidden/>
    <w:rsid w:val="00014566"/>
    <w:pPr>
      <w:spacing w:after="120" w:line="480" w:lineRule="auto"/>
    </w:pPr>
  </w:style>
  <w:style w:type="character" w:customStyle="1" w:styleId="Tekstpodstawowy2Znak">
    <w:name w:val="Tekst podstawowy 2 Znak"/>
    <w:basedOn w:val="Domylnaczcionkaakapitu"/>
    <w:link w:val="Tekstpodstawowy2"/>
    <w:uiPriority w:val="99"/>
    <w:semiHidden/>
    <w:rsid w:val="00014566"/>
    <w:rPr>
      <w:rFonts w:eastAsiaTheme="minorEastAsia"/>
      <w:sz w:val="24"/>
    </w:rPr>
  </w:style>
  <w:style w:type="paragraph" w:styleId="Tekstpodstawowy3">
    <w:name w:val="Body Text 3"/>
    <w:basedOn w:val="Normalny"/>
    <w:link w:val="Tekstpodstawowy3Znak"/>
    <w:uiPriority w:val="99"/>
    <w:semiHidden/>
    <w:rsid w:val="00014566"/>
    <w:pPr>
      <w:spacing w:after="120"/>
    </w:pPr>
    <w:rPr>
      <w:sz w:val="16"/>
      <w:szCs w:val="16"/>
    </w:rPr>
  </w:style>
  <w:style w:type="character" w:customStyle="1" w:styleId="Tekstpodstawowy3Znak">
    <w:name w:val="Tekst podstawowy 3 Znak"/>
    <w:basedOn w:val="Domylnaczcionkaakapitu"/>
    <w:link w:val="Tekstpodstawowy3"/>
    <w:uiPriority w:val="99"/>
    <w:semiHidden/>
    <w:rsid w:val="00014566"/>
    <w:rPr>
      <w:rFonts w:eastAsiaTheme="minorEastAsia"/>
      <w:sz w:val="16"/>
      <w:szCs w:val="16"/>
    </w:rPr>
  </w:style>
  <w:style w:type="paragraph" w:styleId="Tekstpodstawowyzwciciem">
    <w:name w:val="Body Text First Indent"/>
    <w:basedOn w:val="Tekstpodstawowy"/>
    <w:link w:val="TekstpodstawowyzwciciemZnak"/>
    <w:uiPriority w:val="99"/>
    <w:semiHidden/>
    <w:rsid w:val="00014566"/>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014566"/>
    <w:rPr>
      <w:rFonts w:eastAsiaTheme="minorEastAsia"/>
      <w:sz w:val="24"/>
    </w:rPr>
  </w:style>
  <w:style w:type="paragraph" w:styleId="Tekstpodstawowywcity">
    <w:name w:val="Body Text Indent"/>
    <w:basedOn w:val="Normalny"/>
    <w:link w:val="TekstpodstawowywcityZnak"/>
    <w:uiPriority w:val="99"/>
    <w:semiHidden/>
    <w:rsid w:val="00014566"/>
    <w:pPr>
      <w:spacing w:after="120"/>
      <w:ind w:left="283"/>
    </w:pPr>
  </w:style>
  <w:style w:type="character" w:customStyle="1" w:styleId="TekstpodstawowywcityZnak">
    <w:name w:val="Tekst podstawowy wcięty Znak"/>
    <w:basedOn w:val="Domylnaczcionkaakapitu"/>
    <w:link w:val="Tekstpodstawowywcity"/>
    <w:uiPriority w:val="99"/>
    <w:semiHidden/>
    <w:rsid w:val="00014566"/>
    <w:rPr>
      <w:rFonts w:eastAsiaTheme="minorEastAsia"/>
      <w:sz w:val="24"/>
    </w:rPr>
  </w:style>
  <w:style w:type="paragraph" w:styleId="Tekstpodstawowyzwciciem2">
    <w:name w:val="Body Text First Indent 2"/>
    <w:basedOn w:val="Tekstpodstawowywcity"/>
    <w:link w:val="Tekstpodstawowyzwciciem2Znak"/>
    <w:uiPriority w:val="99"/>
    <w:semiHidden/>
    <w:rsid w:val="00014566"/>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014566"/>
    <w:rPr>
      <w:rFonts w:eastAsiaTheme="minorEastAsia"/>
      <w:sz w:val="24"/>
    </w:rPr>
  </w:style>
  <w:style w:type="paragraph" w:styleId="Tekstpodstawowywcity2">
    <w:name w:val="Body Text Indent 2"/>
    <w:basedOn w:val="Normalny"/>
    <w:link w:val="Tekstpodstawowywcity2Znak"/>
    <w:uiPriority w:val="99"/>
    <w:semiHidden/>
    <w:rsid w:val="0001456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14566"/>
    <w:rPr>
      <w:rFonts w:eastAsiaTheme="minorEastAsia"/>
      <w:sz w:val="24"/>
    </w:rPr>
  </w:style>
  <w:style w:type="paragraph" w:styleId="Tekstpodstawowywcity3">
    <w:name w:val="Body Text Indent 3"/>
    <w:basedOn w:val="Normalny"/>
    <w:link w:val="Tekstpodstawowywcity3Znak"/>
    <w:uiPriority w:val="99"/>
    <w:semiHidden/>
    <w:rsid w:val="0001456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14566"/>
    <w:rPr>
      <w:rFonts w:eastAsiaTheme="minorEastAsia"/>
      <w:sz w:val="16"/>
      <w:szCs w:val="16"/>
    </w:rPr>
  </w:style>
  <w:style w:type="paragraph" w:styleId="Legenda">
    <w:name w:val="caption"/>
    <w:basedOn w:val="Normalny"/>
    <w:next w:val="Normalny"/>
    <w:uiPriority w:val="99"/>
    <w:semiHidden/>
    <w:qFormat/>
    <w:rsid w:val="00014566"/>
    <w:pPr>
      <w:spacing w:after="200"/>
    </w:pPr>
    <w:rPr>
      <w:b/>
      <w:bCs/>
      <w:color w:val="0072BC" w:themeColor="accent1"/>
      <w:sz w:val="18"/>
      <w:szCs w:val="18"/>
    </w:rPr>
  </w:style>
  <w:style w:type="paragraph" w:styleId="Zwrotpoegnalny">
    <w:name w:val="Closing"/>
    <w:basedOn w:val="Normalny"/>
    <w:link w:val="ZwrotpoegnalnyZnak"/>
    <w:uiPriority w:val="99"/>
    <w:semiHidden/>
    <w:rsid w:val="00014566"/>
    <w:pPr>
      <w:ind w:left="4252"/>
    </w:pPr>
  </w:style>
  <w:style w:type="character" w:customStyle="1" w:styleId="ZwrotpoegnalnyZnak">
    <w:name w:val="Zwrot pożegnalny Znak"/>
    <w:basedOn w:val="Domylnaczcionkaakapitu"/>
    <w:link w:val="Zwrotpoegnalny"/>
    <w:uiPriority w:val="99"/>
    <w:semiHidden/>
    <w:rsid w:val="00014566"/>
    <w:rPr>
      <w:rFonts w:eastAsiaTheme="minorEastAsia"/>
      <w:sz w:val="24"/>
    </w:rPr>
  </w:style>
  <w:style w:type="table" w:styleId="Kolorowasiatka">
    <w:name w:val="Colorful Grid"/>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Kolorowasiatkaakcent2">
    <w:name w:val="Colorful Grid Accent 2"/>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Kolorowasiatkaakcent3">
    <w:name w:val="Colorful Grid Accent 3"/>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Kolorowasiatkaakcent4">
    <w:name w:val="Colorful Grid Accent 4"/>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Kolorowasiatkaakcent5">
    <w:name w:val="Colorful Grid Accent 5"/>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Kolorowasiatkaakcent6">
    <w:name w:val="Colorful Grid Accent 6"/>
    <w:basedOn w:val="Standardowy"/>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Kolorowalista">
    <w:name w:val="Colorful List"/>
    <w:basedOn w:val="Standardowy"/>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Kolorowalistaakcent2">
    <w:name w:val="Colorful List Accent 2"/>
    <w:basedOn w:val="Standardowy"/>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Kolorowalistaakcent3">
    <w:name w:val="Colorful List Accent 3"/>
    <w:basedOn w:val="Standardowy"/>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Kolorowalistaakcent4">
    <w:name w:val="Colorful List Accent 4"/>
    <w:basedOn w:val="Standardowy"/>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Kolorowalistaakcent5">
    <w:name w:val="Colorful List Accent 5"/>
    <w:basedOn w:val="Standardowy"/>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Kolorowalistaakcent6">
    <w:name w:val="Colorful List Accent 6"/>
    <w:basedOn w:val="Standardowy"/>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Kolorowecieniowanie">
    <w:name w:val="Colorful Shading"/>
    <w:basedOn w:val="Standardowy"/>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Kolorowecieniowanieakcent4">
    <w:name w:val="Colorful Shading Accent 4"/>
    <w:basedOn w:val="Standardowy"/>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Ciemnalista">
    <w:name w:val="Dark List"/>
    <w:basedOn w:val="Standardowy"/>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Ciemnalistaakcent2">
    <w:name w:val="Dark List Accent 2"/>
    <w:basedOn w:val="Standardowy"/>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Ciemnalistaakcent3">
    <w:name w:val="Dark List Accent 3"/>
    <w:basedOn w:val="Standardowy"/>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Ciemnalistaakcent4">
    <w:name w:val="Dark List Accent 4"/>
    <w:basedOn w:val="Standardowy"/>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Ciemnalistaakcent5">
    <w:name w:val="Dark List Accent 5"/>
    <w:basedOn w:val="Standardowy"/>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Ciemnalistaakcent6">
    <w:name w:val="Dark List Accent 6"/>
    <w:basedOn w:val="Standardowy"/>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ny"/>
    <w:next w:val="Normalny"/>
    <w:link w:val="DataZnak"/>
    <w:uiPriority w:val="99"/>
    <w:semiHidden/>
    <w:rsid w:val="00014566"/>
  </w:style>
  <w:style w:type="character" w:customStyle="1" w:styleId="DataZnak">
    <w:name w:val="Data Znak"/>
    <w:basedOn w:val="Domylnaczcionkaakapitu"/>
    <w:link w:val="Data"/>
    <w:uiPriority w:val="99"/>
    <w:semiHidden/>
    <w:rsid w:val="00014566"/>
    <w:rPr>
      <w:rFonts w:eastAsiaTheme="minorEastAsia"/>
      <w:sz w:val="24"/>
    </w:rPr>
  </w:style>
  <w:style w:type="paragraph" w:styleId="Podpise-mail">
    <w:name w:val="E-mail Signature"/>
    <w:basedOn w:val="Normalny"/>
    <w:link w:val="Podpise-mailZnak"/>
    <w:uiPriority w:val="99"/>
    <w:semiHidden/>
    <w:rsid w:val="00014566"/>
  </w:style>
  <w:style w:type="character" w:customStyle="1" w:styleId="Podpise-mailZnak">
    <w:name w:val="Podpis e-mail Znak"/>
    <w:basedOn w:val="Domylnaczcionkaakapitu"/>
    <w:link w:val="Podpise-mail"/>
    <w:uiPriority w:val="99"/>
    <w:semiHidden/>
    <w:rsid w:val="00014566"/>
    <w:rPr>
      <w:rFonts w:eastAsiaTheme="minorEastAsia"/>
      <w:sz w:val="24"/>
    </w:rPr>
  </w:style>
  <w:style w:type="paragraph" w:styleId="Adresnakopercie">
    <w:name w:val="envelope address"/>
    <w:basedOn w:val="Normalny"/>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Adreszwrotnynakopercie">
    <w:name w:val="envelope return"/>
    <w:basedOn w:val="Normalny"/>
    <w:uiPriority w:val="99"/>
    <w:semiHidden/>
    <w:rsid w:val="00014566"/>
    <w:rPr>
      <w:rFonts w:asciiTheme="majorHAnsi" w:eastAsiaTheme="majorEastAsia" w:hAnsiTheme="majorHAnsi" w:cstheme="majorBidi"/>
      <w:sz w:val="20"/>
      <w:szCs w:val="20"/>
    </w:rPr>
  </w:style>
  <w:style w:type="character" w:styleId="HTML-akronim">
    <w:name w:val="HTML Acronym"/>
    <w:basedOn w:val="Domylnaczcionkaakapitu"/>
    <w:uiPriority w:val="99"/>
    <w:semiHidden/>
    <w:rsid w:val="00014566"/>
  </w:style>
  <w:style w:type="paragraph" w:styleId="HTML-adres">
    <w:name w:val="HTML Address"/>
    <w:basedOn w:val="Normalny"/>
    <w:link w:val="HTML-adresZnak"/>
    <w:uiPriority w:val="99"/>
    <w:semiHidden/>
    <w:rsid w:val="00014566"/>
    <w:rPr>
      <w:i/>
      <w:iCs/>
    </w:rPr>
  </w:style>
  <w:style w:type="character" w:customStyle="1" w:styleId="HTML-adresZnak">
    <w:name w:val="HTML - adres Znak"/>
    <w:basedOn w:val="Domylnaczcionkaakapitu"/>
    <w:link w:val="HTML-adres"/>
    <w:uiPriority w:val="99"/>
    <w:semiHidden/>
    <w:rsid w:val="00014566"/>
    <w:rPr>
      <w:rFonts w:eastAsiaTheme="minorEastAsia"/>
      <w:i/>
      <w:iCs/>
      <w:sz w:val="24"/>
    </w:rPr>
  </w:style>
  <w:style w:type="character" w:styleId="HTML-cytat">
    <w:name w:val="HTML Cite"/>
    <w:basedOn w:val="Domylnaczcionkaakapitu"/>
    <w:uiPriority w:val="99"/>
    <w:semiHidden/>
    <w:rsid w:val="00014566"/>
    <w:rPr>
      <w:i/>
      <w:iCs/>
    </w:rPr>
  </w:style>
  <w:style w:type="character" w:styleId="HTML-kod">
    <w:name w:val="HTML Code"/>
    <w:basedOn w:val="Domylnaczcionkaakapitu"/>
    <w:uiPriority w:val="99"/>
    <w:semiHidden/>
    <w:rsid w:val="00014566"/>
    <w:rPr>
      <w:rFonts w:ascii="Consolas" w:hAnsi="Consolas" w:cs="Consolas"/>
      <w:sz w:val="20"/>
      <w:szCs w:val="20"/>
    </w:rPr>
  </w:style>
  <w:style w:type="character" w:styleId="HTML-definicja">
    <w:name w:val="HTML Definition"/>
    <w:basedOn w:val="Domylnaczcionkaakapitu"/>
    <w:uiPriority w:val="99"/>
    <w:semiHidden/>
    <w:rsid w:val="00014566"/>
    <w:rPr>
      <w:i/>
      <w:iCs/>
    </w:rPr>
  </w:style>
  <w:style w:type="character" w:styleId="HTML-klawiatura">
    <w:name w:val="HTML Keyboard"/>
    <w:basedOn w:val="Domylnaczcionkaakapitu"/>
    <w:uiPriority w:val="99"/>
    <w:semiHidden/>
    <w:rsid w:val="00014566"/>
    <w:rPr>
      <w:rFonts w:ascii="Consolas" w:hAnsi="Consolas" w:cs="Consolas"/>
      <w:sz w:val="20"/>
      <w:szCs w:val="20"/>
    </w:rPr>
  </w:style>
  <w:style w:type="paragraph" w:styleId="HTML-wstpniesformatowany">
    <w:name w:val="HTML Preformatted"/>
    <w:basedOn w:val="Normalny"/>
    <w:link w:val="HTML-wstpniesformatowanyZnak"/>
    <w:uiPriority w:val="99"/>
    <w:semiHidden/>
    <w:rsid w:val="00014566"/>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014566"/>
    <w:rPr>
      <w:rFonts w:ascii="Consolas" w:eastAsiaTheme="minorEastAsia" w:hAnsi="Consolas" w:cs="Consolas"/>
      <w:sz w:val="20"/>
      <w:szCs w:val="20"/>
    </w:rPr>
  </w:style>
  <w:style w:type="character" w:styleId="HTML-przykad">
    <w:name w:val="HTML Sample"/>
    <w:basedOn w:val="Domylnaczcionkaakapitu"/>
    <w:uiPriority w:val="99"/>
    <w:semiHidden/>
    <w:rsid w:val="00014566"/>
    <w:rPr>
      <w:rFonts w:ascii="Consolas" w:hAnsi="Consolas" w:cs="Consolas"/>
      <w:sz w:val="24"/>
      <w:szCs w:val="24"/>
    </w:rPr>
  </w:style>
  <w:style w:type="character" w:styleId="HTML-staaszeroko">
    <w:name w:val="HTML Typewriter"/>
    <w:basedOn w:val="Domylnaczcionkaakapitu"/>
    <w:uiPriority w:val="99"/>
    <w:semiHidden/>
    <w:rsid w:val="00014566"/>
    <w:rPr>
      <w:rFonts w:ascii="Consolas" w:hAnsi="Consolas" w:cs="Consolas"/>
      <w:sz w:val="20"/>
      <w:szCs w:val="20"/>
    </w:rPr>
  </w:style>
  <w:style w:type="character" w:styleId="HTML-zmienna">
    <w:name w:val="HTML Variable"/>
    <w:basedOn w:val="Domylnaczcionkaakapitu"/>
    <w:uiPriority w:val="99"/>
    <w:semiHidden/>
    <w:rsid w:val="00014566"/>
    <w:rPr>
      <w:i/>
      <w:iCs/>
    </w:rPr>
  </w:style>
  <w:style w:type="paragraph" w:styleId="Indeks1">
    <w:name w:val="index 1"/>
    <w:basedOn w:val="Normalny"/>
    <w:next w:val="Normalny"/>
    <w:autoRedefine/>
    <w:uiPriority w:val="99"/>
    <w:semiHidden/>
    <w:rsid w:val="00014566"/>
    <w:pPr>
      <w:ind w:left="240" w:hanging="240"/>
    </w:pPr>
  </w:style>
  <w:style w:type="paragraph" w:styleId="Indeks2">
    <w:name w:val="index 2"/>
    <w:basedOn w:val="Normalny"/>
    <w:next w:val="Normalny"/>
    <w:autoRedefine/>
    <w:uiPriority w:val="99"/>
    <w:semiHidden/>
    <w:rsid w:val="00014566"/>
    <w:pPr>
      <w:ind w:left="480" w:hanging="240"/>
    </w:pPr>
  </w:style>
  <w:style w:type="paragraph" w:styleId="Indeks3">
    <w:name w:val="index 3"/>
    <w:basedOn w:val="Normalny"/>
    <w:next w:val="Normalny"/>
    <w:autoRedefine/>
    <w:uiPriority w:val="99"/>
    <w:semiHidden/>
    <w:rsid w:val="00014566"/>
    <w:pPr>
      <w:ind w:left="720" w:hanging="240"/>
    </w:pPr>
  </w:style>
  <w:style w:type="paragraph" w:styleId="Indeks4">
    <w:name w:val="index 4"/>
    <w:basedOn w:val="Normalny"/>
    <w:next w:val="Normalny"/>
    <w:autoRedefine/>
    <w:uiPriority w:val="99"/>
    <w:semiHidden/>
    <w:rsid w:val="00014566"/>
    <w:pPr>
      <w:ind w:left="960" w:hanging="240"/>
    </w:pPr>
  </w:style>
  <w:style w:type="paragraph" w:styleId="Indeks5">
    <w:name w:val="index 5"/>
    <w:basedOn w:val="Normalny"/>
    <w:next w:val="Normalny"/>
    <w:autoRedefine/>
    <w:uiPriority w:val="99"/>
    <w:semiHidden/>
    <w:rsid w:val="00014566"/>
    <w:pPr>
      <w:ind w:left="1200" w:hanging="240"/>
    </w:pPr>
  </w:style>
  <w:style w:type="paragraph" w:styleId="Indeks6">
    <w:name w:val="index 6"/>
    <w:basedOn w:val="Normalny"/>
    <w:next w:val="Normalny"/>
    <w:autoRedefine/>
    <w:uiPriority w:val="99"/>
    <w:semiHidden/>
    <w:rsid w:val="00014566"/>
    <w:pPr>
      <w:ind w:left="1440" w:hanging="240"/>
    </w:pPr>
  </w:style>
  <w:style w:type="paragraph" w:styleId="Indeks7">
    <w:name w:val="index 7"/>
    <w:basedOn w:val="Normalny"/>
    <w:next w:val="Normalny"/>
    <w:autoRedefine/>
    <w:uiPriority w:val="99"/>
    <w:semiHidden/>
    <w:rsid w:val="00014566"/>
    <w:pPr>
      <w:ind w:left="1680" w:hanging="240"/>
    </w:pPr>
  </w:style>
  <w:style w:type="paragraph" w:styleId="Indeks8">
    <w:name w:val="index 8"/>
    <w:basedOn w:val="Normalny"/>
    <w:next w:val="Normalny"/>
    <w:autoRedefine/>
    <w:uiPriority w:val="99"/>
    <w:semiHidden/>
    <w:rsid w:val="00014566"/>
    <w:pPr>
      <w:ind w:left="1920" w:hanging="240"/>
    </w:pPr>
  </w:style>
  <w:style w:type="paragraph" w:styleId="Indeks9">
    <w:name w:val="index 9"/>
    <w:basedOn w:val="Normalny"/>
    <w:next w:val="Normalny"/>
    <w:autoRedefine/>
    <w:uiPriority w:val="99"/>
    <w:semiHidden/>
    <w:rsid w:val="00014566"/>
    <w:pPr>
      <w:ind w:left="2160" w:hanging="240"/>
    </w:pPr>
  </w:style>
  <w:style w:type="paragraph" w:styleId="Nagwekindeksu">
    <w:name w:val="index heading"/>
    <w:basedOn w:val="Normalny"/>
    <w:next w:val="Indeks1"/>
    <w:uiPriority w:val="99"/>
    <w:semiHidden/>
    <w:rsid w:val="00014566"/>
    <w:rPr>
      <w:rFonts w:asciiTheme="majorHAnsi" w:eastAsiaTheme="majorEastAsia" w:hAnsiTheme="majorHAnsi" w:cstheme="majorBidi"/>
      <w:b/>
      <w:bCs/>
    </w:rPr>
  </w:style>
  <w:style w:type="table" w:styleId="Jasnasiatka">
    <w:name w:val="Light Grid"/>
    <w:basedOn w:val="Standardowy"/>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Jasnasiatkaakcent2">
    <w:name w:val="Light Grid Accent 2"/>
    <w:basedOn w:val="Standardowy"/>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Jasnasiatkaakcent3">
    <w:name w:val="Light Grid Accent 3"/>
    <w:basedOn w:val="Standardowy"/>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Jasnasiatkaakcent4">
    <w:name w:val="Light Grid Accent 4"/>
    <w:basedOn w:val="Standardowy"/>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Jasnasiatkaakcent5">
    <w:name w:val="Light Grid Accent 5"/>
    <w:basedOn w:val="Standardowy"/>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Jasnasiatkaakcent6">
    <w:name w:val="Light Grid Accent 6"/>
    <w:basedOn w:val="Standardowy"/>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Jasnalista">
    <w:name w:val="Light List"/>
    <w:basedOn w:val="Standardowy"/>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Jasnalistaakcent2">
    <w:name w:val="Light List Accent 2"/>
    <w:basedOn w:val="Standardowy"/>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Jasnalistaakcent3">
    <w:name w:val="Light List Accent 3"/>
    <w:basedOn w:val="Standardowy"/>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Jasnalistaakcent4">
    <w:name w:val="Light List Accent 4"/>
    <w:basedOn w:val="Standardowy"/>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Jasnalistaakcent5">
    <w:name w:val="Light List Accent 5"/>
    <w:basedOn w:val="Standardowy"/>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Jasnalistaakcent6">
    <w:name w:val="Light List Accent 6"/>
    <w:basedOn w:val="Standardowy"/>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Jasnecieniowanie">
    <w:name w:val="Light Shading"/>
    <w:basedOn w:val="Standardowy"/>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Jasnecieniowanieakcent2">
    <w:name w:val="Light Shading Accent 2"/>
    <w:basedOn w:val="Standardowy"/>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Jasnecieniowanieakcent3">
    <w:name w:val="Light Shading Accent 3"/>
    <w:basedOn w:val="Standardowy"/>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Jasnecieniowanieakcent4">
    <w:name w:val="Light Shading Accent 4"/>
    <w:basedOn w:val="Standardowy"/>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Jasnecieniowanieakcent5">
    <w:name w:val="Light Shading Accent 5"/>
    <w:basedOn w:val="Standardowy"/>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Jasnecieniowanieakcent6">
    <w:name w:val="Light Shading Accent 6"/>
    <w:basedOn w:val="Standardowy"/>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wiersza">
    <w:name w:val="line number"/>
    <w:basedOn w:val="Domylnaczcionkaakapitu"/>
    <w:uiPriority w:val="99"/>
    <w:semiHidden/>
    <w:rsid w:val="00014566"/>
  </w:style>
  <w:style w:type="paragraph" w:styleId="Lista">
    <w:name w:val="List"/>
    <w:basedOn w:val="Normalny"/>
    <w:uiPriority w:val="99"/>
    <w:semiHidden/>
    <w:rsid w:val="00014566"/>
    <w:pPr>
      <w:ind w:left="283" w:hanging="283"/>
      <w:contextualSpacing/>
    </w:pPr>
  </w:style>
  <w:style w:type="paragraph" w:styleId="Lista2">
    <w:name w:val="List 2"/>
    <w:basedOn w:val="Normalny"/>
    <w:uiPriority w:val="99"/>
    <w:semiHidden/>
    <w:rsid w:val="00014566"/>
    <w:pPr>
      <w:ind w:left="566" w:hanging="283"/>
      <w:contextualSpacing/>
    </w:pPr>
  </w:style>
  <w:style w:type="paragraph" w:styleId="Lista3">
    <w:name w:val="List 3"/>
    <w:basedOn w:val="Normalny"/>
    <w:uiPriority w:val="99"/>
    <w:semiHidden/>
    <w:rsid w:val="00014566"/>
    <w:pPr>
      <w:ind w:left="849" w:hanging="283"/>
      <w:contextualSpacing/>
    </w:pPr>
  </w:style>
  <w:style w:type="paragraph" w:styleId="Lista4">
    <w:name w:val="List 4"/>
    <w:basedOn w:val="Normalny"/>
    <w:uiPriority w:val="99"/>
    <w:semiHidden/>
    <w:rsid w:val="00014566"/>
    <w:pPr>
      <w:ind w:left="1132" w:hanging="283"/>
      <w:contextualSpacing/>
    </w:pPr>
  </w:style>
  <w:style w:type="paragraph" w:styleId="Lista5">
    <w:name w:val="List 5"/>
    <w:basedOn w:val="Normalny"/>
    <w:uiPriority w:val="99"/>
    <w:semiHidden/>
    <w:rsid w:val="00014566"/>
    <w:pPr>
      <w:ind w:left="1415" w:hanging="283"/>
      <w:contextualSpacing/>
    </w:pPr>
  </w:style>
  <w:style w:type="paragraph" w:styleId="Listapunktowana2">
    <w:name w:val="List Bullet 2"/>
    <w:basedOn w:val="Normalny"/>
    <w:uiPriority w:val="99"/>
    <w:semiHidden/>
    <w:rsid w:val="00014566"/>
    <w:pPr>
      <w:numPr>
        <w:numId w:val="5"/>
      </w:numPr>
      <w:contextualSpacing/>
    </w:pPr>
  </w:style>
  <w:style w:type="paragraph" w:styleId="Listapunktowana3">
    <w:name w:val="List Bullet 3"/>
    <w:basedOn w:val="Normalny"/>
    <w:uiPriority w:val="99"/>
    <w:semiHidden/>
    <w:rsid w:val="00014566"/>
    <w:pPr>
      <w:numPr>
        <w:numId w:val="6"/>
      </w:numPr>
      <w:contextualSpacing/>
    </w:pPr>
  </w:style>
  <w:style w:type="paragraph" w:styleId="Listapunktowana4">
    <w:name w:val="List Bullet 4"/>
    <w:basedOn w:val="Normalny"/>
    <w:uiPriority w:val="99"/>
    <w:semiHidden/>
    <w:rsid w:val="00014566"/>
    <w:pPr>
      <w:numPr>
        <w:numId w:val="7"/>
      </w:numPr>
      <w:contextualSpacing/>
    </w:pPr>
  </w:style>
  <w:style w:type="paragraph" w:styleId="Listapunktowana5">
    <w:name w:val="List Bullet 5"/>
    <w:basedOn w:val="Normalny"/>
    <w:uiPriority w:val="99"/>
    <w:semiHidden/>
    <w:rsid w:val="00014566"/>
    <w:pPr>
      <w:numPr>
        <w:numId w:val="8"/>
      </w:numPr>
      <w:contextualSpacing/>
    </w:pPr>
  </w:style>
  <w:style w:type="paragraph" w:styleId="Lista-kontynuacja">
    <w:name w:val="List Continue"/>
    <w:basedOn w:val="Normalny"/>
    <w:uiPriority w:val="99"/>
    <w:semiHidden/>
    <w:rsid w:val="00014566"/>
    <w:pPr>
      <w:spacing w:after="120"/>
      <w:ind w:left="283"/>
      <w:contextualSpacing/>
    </w:pPr>
  </w:style>
  <w:style w:type="paragraph" w:styleId="Lista-kontynuacja2">
    <w:name w:val="List Continue 2"/>
    <w:basedOn w:val="Normalny"/>
    <w:uiPriority w:val="99"/>
    <w:semiHidden/>
    <w:rsid w:val="00014566"/>
    <w:pPr>
      <w:spacing w:after="120"/>
      <w:ind w:left="566"/>
      <w:contextualSpacing/>
    </w:pPr>
  </w:style>
  <w:style w:type="paragraph" w:styleId="Lista-kontynuacja3">
    <w:name w:val="List Continue 3"/>
    <w:basedOn w:val="Normalny"/>
    <w:uiPriority w:val="99"/>
    <w:semiHidden/>
    <w:rsid w:val="00014566"/>
    <w:pPr>
      <w:spacing w:after="120"/>
      <w:ind w:left="849"/>
      <w:contextualSpacing/>
    </w:pPr>
  </w:style>
  <w:style w:type="paragraph" w:styleId="Lista-kontynuacja4">
    <w:name w:val="List Continue 4"/>
    <w:basedOn w:val="Normalny"/>
    <w:uiPriority w:val="99"/>
    <w:semiHidden/>
    <w:rsid w:val="00014566"/>
    <w:pPr>
      <w:spacing w:after="120"/>
      <w:ind w:left="1132"/>
      <w:contextualSpacing/>
    </w:pPr>
  </w:style>
  <w:style w:type="paragraph" w:styleId="Lista-kontynuacja5">
    <w:name w:val="List Continue 5"/>
    <w:basedOn w:val="Normalny"/>
    <w:uiPriority w:val="99"/>
    <w:semiHidden/>
    <w:rsid w:val="00014566"/>
    <w:pPr>
      <w:spacing w:after="120"/>
      <w:ind w:left="1415"/>
      <w:contextualSpacing/>
    </w:pPr>
  </w:style>
  <w:style w:type="paragraph" w:styleId="Listanumerowana">
    <w:name w:val="List Number"/>
    <w:basedOn w:val="Normalny"/>
    <w:uiPriority w:val="99"/>
    <w:semiHidden/>
    <w:rsid w:val="00014566"/>
    <w:pPr>
      <w:numPr>
        <w:numId w:val="9"/>
      </w:numPr>
      <w:contextualSpacing/>
    </w:pPr>
  </w:style>
  <w:style w:type="paragraph" w:styleId="Listanumerowana2">
    <w:name w:val="List Number 2"/>
    <w:basedOn w:val="Normalny"/>
    <w:uiPriority w:val="99"/>
    <w:semiHidden/>
    <w:rsid w:val="00014566"/>
    <w:pPr>
      <w:numPr>
        <w:numId w:val="10"/>
      </w:numPr>
      <w:contextualSpacing/>
    </w:pPr>
  </w:style>
  <w:style w:type="paragraph" w:styleId="Listanumerowana3">
    <w:name w:val="List Number 3"/>
    <w:basedOn w:val="Normalny"/>
    <w:uiPriority w:val="99"/>
    <w:semiHidden/>
    <w:rsid w:val="00014566"/>
    <w:pPr>
      <w:numPr>
        <w:numId w:val="11"/>
      </w:numPr>
      <w:contextualSpacing/>
    </w:pPr>
  </w:style>
  <w:style w:type="paragraph" w:styleId="Listanumerowana4">
    <w:name w:val="List Number 4"/>
    <w:basedOn w:val="Normalny"/>
    <w:uiPriority w:val="99"/>
    <w:semiHidden/>
    <w:rsid w:val="00014566"/>
    <w:pPr>
      <w:numPr>
        <w:numId w:val="12"/>
      </w:numPr>
      <w:contextualSpacing/>
    </w:pPr>
  </w:style>
  <w:style w:type="paragraph" w:styleId="Listanumerowana5">
    <w:name w:val="List Number 5"/>
    <w:basedOn w:val="Normalny"/>
    <w:uiPriority w:val="99"/>
    <w:semiHidden/>
    <w:rsid w:val="00014566"/>
    <w:pPr>
      <w:numPr>
        <w:numId w:val="13"/>
      </w:numPr>
      <w:contextualSpacing/>
    </w:pPr>
  </w:style>
  <w:style w:type="paragraph" w:styleId="Tekstmakra">
    <w:name w:val="macro"/>
    <w:link w:val="TekstmakraZnak"/>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TekstmakraZnak">
    <w:name w:val="Tekst makra Znak"/>
    <w:basedOn w:val="Domylnaczcionkaakapitu"/>
    <w:link w:val="Tekstmakra"/>
    <w:uiPriority w:val="99"/>
    <w:semiHidden/>
    <w:rsid w:val="00014566"/>
    <w:rPr>
      <w:rFonts w:ascii="Consolas" w:hAnsi="Consolas" w:cs="Consolas"/>
      <w:sz w:val="20"/>
      <w:szCs w:val="20"/>
      <w:lang w:val="en-GB" w:eastAsia="fr-FR"/>
    </w:rPr>
  </w:style>
  <w:style w:type="table" w:styleId="redniasiatka1">
    <w:name w:val="Medium Grid 1"/>
    <w:basedOn w:val="Standardowy"/>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redniasiatka1akcent2">
    <w:name w:val="Medium Grid 1 Accent 2"/>
    <w:basedOn w:val="Standardowy"/>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redniasiatka1akcent3">
    <w:name w:val="Medium Grid 1 Accent 3"/>
    <w:basedOn w:val="Standardowy"/>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redniasiatka1akcent4">
    <w:name w:val="Medium Grid 1 Accent 4"/>
    <w:basedOn w:val="Standardowy"/>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redniasiatka1akcent5">
    <w:name w:val="Medium Grid 1 Accent 5"/>
    <w:basedOn w:val="Standardowy"/>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redniasiatka1akcent6">
    <w:name w:val="Medium Grid 1 Accent 6"/>
    <w:basedOn w:val="Standardowy"/>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redniasiatka2">
    <w:name w:val="Medium Grid 2"/>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redniasiatka2akcent1">
    <w:name w:val="Medium Grid 2 Accent 1"/>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redniasiatka2akcent2">
    <w:name w:val="Medium Grid 2 Accent 2"/>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redniasiatka2akcent3">
    <w:name w:val="Medium Grid 2 Accent 3"/>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redniasiatka2akcent4">
    <w:name w:val="Medium Grid 2 Accent 4"/>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redniasiatka2akcent5">
    <w:name w:val="Medium Grid 2 Accent 5"/>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redniasiatka2akcent6">
    <w:name w:val="Medium Grid 2 Accent 6"/>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redniasiatka3">
    <w:name w:val="Medium Grid 3"/>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redniasiatka3akcent1">
    <w:name w:val="Medium Grid 3 Accent 1"/>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redniasiatka3akcent2">
    <w:name w:val="Medium Grid 3 Accent 2"/>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redniasiatka3akcent3">
    <w:name w:val="Medium Grid 3 Accent 3"/>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redniasiatka3akcent4">
    <w:name w:val="Medium Grid 3 Accent 4"/>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redniasiatka3akcent5">
    <w:name w:val="Medium Grid 3 Accent 5"/>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redniasiatka3akcent6">
    <w:name w:val="Medium Grid 3 Accent 6"/>
    <w:basedOn w:val="Standardowy"/>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rednialista1">
    <w:name w:val="Medium List 1"/>
    <w:basedOn w:val="Standardowy"/>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rednialista1akcent2">
    <w:name w:val="Medium List 1 Accent 2"/>
    <w:basedOn w:val="Standardowy"/>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rednialista1akcent3">
    <w:name w:val="Medium List 1 Accent 3"/>
    <w:basedOn w:val="Standardowy"/>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rednialista1akcent4">
    <w:name w:val="Medium List 1 Accent 4"/>
    <w:basedOn w:val="Standardowy"/>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rednialista1akcent5">
    <w:name w:val="Medium List 1 Accent 5"/>
    <w:basedOn w:val="Standardowy"/>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rednialista1akcent6">
    <w:name w:val="Medium List 1 Accent 6"/>
    <w:basedOn w:val="Standardowy"/>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rednialista2">
    <w:name w:val="Medium List 2"/>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1">
    <w:name w:val="Medium List 2 Accent 1"/>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2">
    <w:name w:val="Medium List 2 Accent 2"/>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3">
    <w:name w:val="Medium List 2 Accent 3"/>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4">
    <w:name w:val="Medium List 2 Accent 4"/>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5">
    <w:name w:val="Medium List 2 Accent 5"/>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rednialista2akcent6">
    <w:name w:val="Medium List 2 Accent 6"/>
    <w:basedOn w:val="Standardowy"/>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redniecieniowanie1">
    <w:name w:val="Medium Shading 1"/>
    <w:basedOn w:val="Standardowy"/>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gwekwiadomociZnak">
    <w:name w:val="Nagłówek wiadomości Znak"/>
    <w:basedOn w:val="Domylnaczcionkaakapitu"/>
    <w:link w:val="Nagwekwiadomoci"/>
    <w:uiPriority w:val="99"/>
    <w:semiHidden/>
    <w:rsid w:val="00014566"/>
    <w:rPr>
      <w:rFonts w:asciiTheme="majorHAnsi" w:eastAsiaTheme="majorEastAsia" w:hAnsiTheme="majorHAnsi" w:cstheme="majorBidi"/>
      <w:sz w:val="24"/>
      <w:szCs w:val="24"/>
      <w:shd w:val="pct20" w:color="auto" w:fill="auto"/>
    </w:rPr>
  </w:style>
  <w:style w:type="paragraph" w:styleId="NormalnyWeb">
    <w:name w:val="Normal (Web)"/>
    <w:basedOn w:val="Normalny"/>
    <w:uiPriority w:val="99"/>
    <w:semiHidden/>
    <w:rsid w:val="00014566"/>
    <w:rPr>
      <w:rFonts w:ascii="Times New Roman" w:hAnsi="Times New Roman" w:cs="Times New Roman"/>
      <w:szCs w:val="24"/>
    </w:rPr>
  </w:style>
  <w:style w:type="paragraph" w:styleId="Wcicienormalne">
    <w:name w:val="Normal Indent"/>
    <w:basedOn w:val="Normalny"/>
    <w:uiPriority w:val="99"/>
    <w:semiHidden/>
    <w:rsid w:val="00014566"/>
    <w:pPr>
      <w:ind w:left="720"/>
    </w:pPr>
  </w:style>
  <w:style w:type="paragraph" w:customStyle="1" w:styleId="OpiHA0">
    <w:name w:val="Opi_H_A"/>
    <w:basedOn w:val="ECHRHeading1"/>
    <w:next w:val="OpiPara"/>
    <w:uiPriority w:val="41"/>
    <w:qFormat/>
    <w:rsid w:val="00A60113"/>
    <w:pPr>
      <w:tabs>
        <w:tab w:val="clear" w:pos="357"/>
      </w:tabs>
      <w:outlineLvl w:val="1"/>
    </w:pPr>
    <w:rPr>
      <w:b/>
    </w:rPr>
  </w:style>
  <w:style w:type="paragraph" w:customStyle="1" w:styleId="OpiHi">
    <w:name w:val="Opi_H_i"/>
    <w:basedOn w:val="ECHRHeading4"/>
    <w:uiPriority w:val="44"/>
    <w:qFormat/>
    <w:rsid w:val="00A60113"/>
    <w:pPr>
      <w:ind w:left="1037" w:hanging="357"/>
      <w:outlineLvl w:val="4"/>
    </w:pPr>
    <w:rPr>
      <w:b w:val="0"/>
      <w:i/>
    </w:rPr>
  </w:style>
  <w:style w:type="character" w:styleId="Tekstzastpczy">
    <w:name w:val="Placeholder Text"/>
    <w:basedOn w:val="Domylnaczcionkaakapitu"/>
    <w:uiPriority w:val="99"/>
    <w:semiHidden/>
    <w:rsid w:val="00A60113"/>
    <w:rPr>
      <w:color w:val="auto"/>
      <w:bdr w:val="none" w:sz="0" w:space="0" w:color="auto"/>
      <w:shd w:val="clear" w:color="auto" w:fill="DFDFDF" w:themeFill="background2" w:themeFillShade="E6"/>
    </w:rPr>
  </w:style>
  <w:style w:type="paragraph" w:styleId="Zwykytekst">
    <w:name w:val="Plain Text"/>
    <w:basedOn w:val="Normalny"/>
    <w:link w:val="ZwykytekstZnak"/>
    <w:uiPriority w:val="99"/>
    <w:semiHidden/>
    <w:rsid w:val="00014566"/>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014566"/>
    <w:rPr>
      <w:rFonts w:ascii="Consolas" w:eastAsiaTheme="minorEastAsia" w:hAnsi="Consolas" w:cs="Consolas"/>
      <w:sz w:val="21"/>
      <w:szCs w:val="21"/>
    </w:rPr>
  </w:style>
  <w:style w:type="paragraph" w:styleId="Zwrotgrzecznociowy">
    <w:name w:val="Salutation"/>
    <w:basedOn w:val="Normalny"/>
    <w:next w:val="Normalny"/>
    <w:link w:val="ZwrotgrzecznociowyZnak"/>
    <w:uiPriority w:val="99"/>
    <w:semiHidden/>
    <w:rsid w:val="00014566"/>
  </w:style>
  <w:style w:type="character" w:customStyle="1" w:styleId="ZwrotgrzecznociowyZnak">
    <w:name w:val="Zwrot grzecznościowy Znak"/>
    <w:basedOn w:val="Domylnaczcionkaakapitu"/>
    <w:link w:val="Zwrotgrzecznociowy"/>
    <w:uiPriority w:val="99"/>
    <w:semiHidden/>
    <w:rsid w:val="00014566"/>
    <w:rPr>
      <w:rFonts w:eastAsiaTheme="minorEastAsia"/>
      <w:sz w:val="24"/>
    </w:rPr>
  </w:style>
  <w:style w:type="paragraph" w:styleId="Podpis">
    <w:name w:val="Signature"/>
    <w:basedOn w:val="Normalny"/>
    <w:link w:val="PodpisZnak"/>
    <w:uiPriority w:val="99"/>
    <w:semiHidden/>
    <w:rsid w:val="00014566"/>
    <w:pPr>
      <w:ind w:left="4252"/>
    </w:pPr>
  </w:style>
  <w:style w:type="character" w:customStyle="1" w:styleId="PodpisZnak">
    <w:name w:val="Podpis Znak"/>
    <w:basedOn w:val="Domylnaczcionkaakapitu"/>
    <w:link w:val="Podpis"/>
    <w:uiPriority w:val="99"/>
    <w:semiHidden/>
    <w:rsid w:val="00014566"/>
    <w:rPr>
      <w:rFonts w:eastAsiaTheme="minorEastAsia"/>
      <w:sz w:val="24"/>
    </w:rPr>
  </w:style>
  <w:style w:type="table" w:styleId="Tabela-Efekty3D1">
    <w:name w:val="Table 3D effects 1"/>
    <w:basedOn w:val="Standardowy"/>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014566"/>
    <w:pPr>
      <w:ind w:left="240" w:hanging="240"/>
    </w:pPr>
  </w:style>
  <w:style w:type="paragraph" w:styleId="Spisilustracji">
    <w:name w:val="table of figures"/>
    <w:basedOn w:val="Normalny"/>
    <w:next w:val="Normalny"/>
    <w:uiPriority w:val="99"/>
    <w:semiHidden/>
    <w:rsid w:val="00014566"/>
  </w:style>
  <w:style w:type="table" w:styleId="Tabela-Profesjonalny">
    <w:name w:val="Table Professional"/>
    <w:basedOn w:val="Standardowy"/>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99"/>
    <w:semiHidden/>
    <w:rsid w:val="00A60113"/>
    <w:pPr>
      <w:tabs>
        <w:tab w:val="right" w:leader="dot" w:pos="7371"/>
      </w:tabs>
      <w:spacing w:after="60" w:line="240" w:lineRule="exact"/>
      <w:ind w:left="2041" w:right="567" w:hanging="340"/>
    </w:pPr>
    <w:rPr>
      <w:sz w:val="20"/>
    </w:rPr>
  </w:style>
  <w:style w:type="paragraph" w:styleId="Spistreci7">
    <w:name w:val="toc 7"/>
    <w:basedOn w:val="Normalny"/>
    <w:next w:val="Normalny"/>
    <w:autoRedefine/>
    <w:uiPriority w:val="99"/>
    <w:semiHidden/>
    <w:rsid w:val="00A60113"/>
    <w:pPr>
      <w:tabs>
        <w:tab w:val="right" w:leader="dot" w:pos="7371"/>
      </w:tabs>
      <w:spacing w:after="60" w:line="240" w:lineRule="exact"/>
      <w:ind w:left="2381" w:right="567" w:hanging="340"/>
    </w:pPr>
    <w:rPr>
      <w:sz w:val="20"/>
    </w:rPr>
  </w:style>
  <w:style w:type="paragraph" w:styleId="Spistreci8">
    <w:name w:val="toc 8"/>
    <w:basedOn w:val="Normalny"/>
    <w:next w:val="Normalny"/>
    <w:autoRedefine/>
    <w:uiPriority w:val="99"/>
    <w:semiHidden/>
    <w:rsid w:val="00014566"/>
    <w:pPr>
      <w:spacing w:after="100"/>
      <w:ind w:left="1680"/>
    </w:pPr>
  </w:style>
  <w:style w:type="paragraph" w:styleId="Spistreci9">
    <w:name w:val="toc 9"/>
    <w:basedOn w:val="Normalny"/>
    <w:next w:val="Normalny"/>
    <w:autoRedefine/>
    <w:uiPriority w:val="99"/>
    <w:semiHidden/>
    <w:rsid w:val="00014566"/>
    <w:pPr>
      <w:spacing w:after="100"/>
      <w:ind w:left="1920"/>
    </w:pPr>
  </w:style>
  <w:style w:type="paragraph" w:customStyle="1" w:styleId="OpiPara">
    <w:name w:val="Opi_Para"/>
    <w:basedOn w:val="ECHRPara"/>
    <w:uiPriority w:val="46"/>
    <w:qFormat/>
    <w:rsid w:val="00A60113"/>
  </w:style>
  <w:style w:type="paragraph" w:customStyle="1" w:styleId="OpiParaSub">
    <w:name w:val="Opi_Para_Sub"/>
    <w:basedOn w:val="JuParaSub"/>
    <w:uiPriority w:val="47"/>
    <w:qFormat/>
    <w:rsid w:val="00A60113"/>
  </w:style>
  <w:style w:type="paragraph" w:customStyle="1" w:styleId="OpiQuot">
    <w:name w:val="Opi_Quot"/>
    <w:basedOn w:val="ECHRParaQuote"/>
    <w:uiPriority w:val="48"/>
    <w:qFormat/>
    <w:rsid w:val="00A60113"/>
  </w:style>
  <w:style w:type="paragraph" w:customStyle="1" w:styleId="OpiQuotSub">
    <w:name w:val="Opi_Quot_Sub"/>
    <w:basedOn w:val="JuQuotSub"/>
    <w:uiPriority w:val="49"/>
    <w:qFormat/>
    <w:rsid w:val="00A60113"/>
  </w:style>
  <w:style w:type="paragraph" w:customStyle="1" w:styleId="OpiTranslation">
    <w:name w:val="Opi_Translation"/>
    <w:basedOn w:val="Normalny"/>
    <w:next w:val="OpiPara"/>
    <w:uiPriority w:val="40"/>
    <w:qFormat/>
    <w:rsid w:val="00A60113"/>
    <w:pPr>
      <w:jc w:val="center"/>
      <w:outlineLvl w:val="0"/>
    </w:pPr>
    <w:rPr>
      <w:i/>
    </w:rPr>
  </w:style>
  <w:style w:type="paragraph" w:styleId="Nagweknotatki">
    <w:name w:val="Note Heading"/>
    <w:basedOn w:val="Normalny"/>
    <w:next w:val="Normalny"/>
    <w:link w:val="NagweknotatkiZnak"/>
    <w:uiPriority w:val="99"/>
    <w:semiHidden/>
    <w:rsid w:val="00C7382B"/>
  </w:style>
  <w:style w:type="character" w:customStyle="1" w:styleId="NagweknotatkiZnak">
    <w:name w:val="Nagłówek notatki Znak"/>
    <w:basedOn w:val="Domylnaczcionkaakapitu"/>
    <w:link w:val="Nagweknotatki"/>
    <w:uiPriority w:val="99"/>
    <w:semiHidden/>
    <w:rsid w:val="00C7382B"/>
    <w:rPr>
      <w:rFonts w:eastAsiaTheme="minorEastAsia"/>
      <w:sz w:val="24"/>
      <w:lang w:val="en-GB"/>
    </w:rPr>
  </w:style>
  <w:style w:type="character" w:customStyle="1" w:styleId="ECHRParaChar">
    <w:name w:val="ECHR_Para Char"/>
    <w:aliases w:val="Ju_Para Char"/>
    <w:basedOn w:val="Domylnaczcionkaakapitu"/>
    <w:link w:val="ECHRPara"/>
    <w:uiPriority w:val="12"/>
    <w:rsid w:val="00AA0130"/>
    <w:rPr>
      <w:rFonts w:eastAsiaTheme="minorEastAsia"/>
      <w:sz w:val="24"/>
      <w:lang w:val="en-GB"/>
    </w:rPr>
  </w:style>
  <w:style w:type="paragraph" w:styleId="Poprawka">
    <w:name w:val="Revision"/>
    <w:hidden/>
    <w:uiPriority w:val="99"/>
    <w:semiHidden/>
    <w:rsid w:val="002D371C"/>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2668">
      <w:bodyDiv w:val="1"/>
      <w:marLeft w:val="0"/>
      <w:marRight w:val="0"/>
      <w:marTop w:val="0"/>
      <w:marBottom w:val="0"/>
      <w:divBdr>
        <w:top w:val="none" w:sz="0" w:space="0" w:color="auto"/>
        <w:left w:val="none" w:sz="0" w:space="0" w:color="auto"/>
        <w:bottom w:val="none" w:sz="0" w:space="0" w:color="auto"/>
        <w:right w:val="none" w:sz="0" w:space="0" w:color="auto"/>
      </w:divBdr>
      <w:divsChild>
        <w:div w:id="1635909925">
          <w:marLeft w:val="0"/>
          <w:marRight w:val="0"/>
          <w:marTop w:val="0"/>
          <w:marBottom w:val="0"/>
          <w:divBdr>
            <w:top w:val="none" w:sz="0" w:space="0" w:color="auto"/>
            <w:left w:val="none" w:sz="0" w:space="0" w:color="auto"/>
            <w:bottom w:val="none" w:sz="0" w:space="0" w:color="auto"/>
            <w:right w:val="none" w:sz="0" w:space="0" w:color="auto"/>
          </w:divBdr>
          <w:divsChild>
            <w:div w:id="2120639884">
              <w:marLeft w:val="0"/>
              <w:marRight w:val="0"/>
              <w:marTop w:val="0"/>
              <w:marBottom w:val="0"/>
              <w:divBdr>
                <w:top w:val="none" w:sz="0" w:space="0" w:color="auto"/>
                <w:left w:val="none" w:sz="0" w:space="0" w:color="auto"/>
                <w:bottom w:val="none" w:sz="0" w:space="0" w:color="auto"/>
                <w:right w:val="none" w:sz="0" w:space="0" w:color="auto"/>
              </w:divBdr>
              <w:divsChild>
                <w:div w:id="1825929831">
                  <w:marLeft w:val="0"/>
                  <w:marRight w:val="0"/>
                  <w:marTop w:val="0"/>
                  <w:marBottom w:val="0"/>
                  <w:divBdr>
                    <w:top w:val="none" w:sz="0" w:space="0" w:color="auto"/>
                    <w:left w:val="none" w:sz="0" w:space="0" w:color="auto"/>
                    <w:bottom w:val="none" w:sz="0" w:space="0" w:color="auto"/>
                    <w:right w:val="none" w:sz="0" w:space="0" w:color="auto"/>
                  </w:divBdr>
                  <w:divsChild>
                    <w:div w:id="497577514">
                      <w:marLeft w:val="0"/>
                      <w:marRight w:val="0"/>
                      <w:marTop w:val="0"/>
                      <w:marBottom w:val="0"/>
                      <w:divBdr>
                        <w:top w:val="none" w:sz="0" w:space="0" w:color="auto"/>
                        <w:left w:val="none" w:sz="0" w:space="0" w:color="auto"/>
                        <w:bottom w:val="none" w:sz="0" w:space="0" w:color="auto"/>
                        <w:right w:val="none" w:sz="0" w:space="0" w:color="auto"/>
                      </w:divBdr>
                      <w:divsChild>
                        <w:div w:id="28190039">
                          <w:marLeft w:val="0"/>
                          <w:marRight w:val="0"/>
                          <w:marTop w:val="0"/>
                          <w:marBottom w:val="0"/>
                          <w:divBdr>
                            <w:top w:val="none" w:sz="0" w:space="0" w:color="auto"/>
                            <w:left w:val="none" w:sz="0" w:space="0" w:color="auto"/>
                            <w:bottom w:val="none" w:sz="0" w:space="0" w:color="auto"/>
                            <w:right w:val="none" w:sz="0" w:space="0" w:color="auto"/>
                          </w:divBdr>
                          <w:divsChild>
                            <w:div w:id="365450449">
                              <w:marLeft w:val="0"/>
                              <w:marRight w:val="0"/>
                              <w:marTop w:val="0"/>
                              <w:marBottom w:val="0"/>
                              <w:divBdr>
                                <w:top w:val="none" w:sz="0" w:space="0" w:color="auto"/>
                                <w:left w:val="none" w:sz="0" w:space="0" w:color="auto"/>
                                <w:bottom w:val="none" w:sz="0" w:space="0" w:color="auto"/>
                                <w:right w:val="none" w:sz="0" w:space="0" w:color="auto"/>
                              </w:divBdr>
                              <w:divsChild>
                                <w:div w:id="620262272">
                                  <w:marLeft w:val="0"/>
                                  <w:marRight w:val="0"/>
                                  <w:marTop w:val="0"/>
                                  <w:marBottom w:val="0"/>
                                  <w:divBdr>
                                    <w:top w:val="none" w:sz="0" w:space="0" w:color="auto"/>
                                    <w:left w:val="none" w:sz="0" w:space="0" w:color="auto"/>
                                    <w:bottom w:val="none" w:sz="0" w:space="0" w:color="auto"/>
                                    <w:right w:val="none" w:sz="0" w:space="0" w:color="auto"/>
                                  </w:divBdr>
                                  <w:divsChild>
                                    <w:div w:id="959145605">
                                      <w:marLeft w:val="0"/>
                                      <w:marRight w:val="0"/>
                                      <w:marTop w:val="0"/>
                                      <w:marBottom w:val="0"/>
                                      <w:divBdr>
                                        <w:top w:val="none" w:sz="0" w:space="0" w:color="auto"/>
                                        <w:left w:val="none" w:sz="0" w:space="0" w:color="auto"/>
                                        <w:bottom w:val="none" w:sz="0" w:space="0" w:color="auto"/>
                                        <w:right w:val="none" w:sz="0" w:space="0" w:color="auto"/>
                                      </w:divBdr>
                                      <w:divsChild>
                                        <w:div w:id="1301418083">
                                          <w:marLeft w:val="0"/>
                                          <w:marRight w:val="0"/>
                                          <w:marTop w:val="0"/>
                                          <w:marBottom w:val="0"/>
                                          <w:divBdr>
                                            <w:top w:val="none" w:sz="0" w:space="0" w:color="auto"/>
                                            <w:left w:val="none" w:sz="0" w:space="0" w:color="auto"/>
                                            <w:bottom w:val="none" w:sz="0" w:space="0" w:color="auto"/>
                                            <w:right w:val="none" w:sz="0" w:space="0" w:color="auto"/>
                                          </w:divBdr>
                                          <w:divsChild>
                                            <w:div w:id="115178743">
                                              <w:marLeft w:val="0"/>
                                              <w:marRight w:val="0"/>
                                              <w:marTop w:val="0"/>
                                              <w:marBottom w:val="0"/>
                                              <w:divBdr>
                                                <w:top w:val="none" w:sz="0" w:space="0" w:color="auto"/>
                                                <w:left w:val="none" w:sz="0" w:space="0" w:color="auto"/>
                                                <w:bottom w:val="none" w:sz="0" w:space="0" w:color="auto"/>
                                                <w:right w:val="none" w:sz="0" w:space="0" w:color="auto"/>
                                              </w:divBdr>
                                              <w:divsChild>
                                                <w:div w:id="1707674321">
                                                  <w:marLeft w:val="0"/>
                                                  <w:marRight w:val="0"/>
                                                  <w:marTop w:val="0"/>
                                                  <w:marBottom w:val="0"/>
                                                  <w:divBdr>
                                                    <w:top w:val="none" w:sz="0" w:space="0" w:color="auto"/>
                                                    <w:left w:val="none" w:sz="0" w:space="0" w:color="auto"/>
                                                    <w:bottom w:val="none" w:sz="0" w:space="0" w:color="auto"/>
                                                    <w:right w:val="none" w:sz="0" w:space="0" w:color="auto"/>
                                                  </w:divBdr>
                                                  <w:divsChild>
                                                    <w:div w:id="714696847">
                                                      <w:marLeft w:val="0"/>
                                                      <w:marRight w:val="0"/>
                                                      <w:marTop w:val="0"/>
                                                      <w:marBottom w:val="0"/>
                                                      <w:divBdr>
                                                        <w:top w:val="none" w:sz="0" w:space="0" w:color="auto"/>
                                                        <w:left w:val="none" w:sz="0" w:space="0" w:color="auto"/>
                                                        <w:bottom w:val="none" w:sz="0" w:space="0" w:color="auto"/>
                                                        <w:right w:val="none" w:sz="0" w:space="0" w:color="auto"/>
                                                      </w:divBdr>
                                                      <w:divsChild>
                                                        <w:div w:id="1801731063">
                                                          <w:marLeft w:val="0"/>
                                                          <w:marRight w:val="0"/>
                                                          <w:marTop w:val="0"/>
                                                          <w:marBottom w:val="0"/>
                                                          <w:divBdr>
                                                            <w:top w:val="none" w:sz="0" w:space="0" w:color="auto"/>
                                                            <w:left w:val="none" w:sz="0" w:space="0" w:color="auto"/>
                                                            <w:bottom w:val="none" w:sz="0" w:space="0" w:color="auto"/>
                                                            <w:right w:val="none" w:sz="0" w:space="0" w:color="auto"/>
                                                          </w:divBdr>
                                                          <w:divsChild>
                                                            <w:div w:id="677539438">
                                                              <w:marLeft w:val="0"/>
                                                              <w:marRight w:val="0"/>
                                                              <w:marTop w:val="0"/>
                                                              <w:marBottom w:val="0"/>
                                                              <w:divBdr>
                                                                <w:top w:val="none" w:sz="0" w:space="0" w:color="auto"/>
                                                                <w:left w:val="none" w:sz="0" w:space="0" w:color="auto"/>
                                                                <w:bottom w:val="none" w:sz="0" w:space="0" w:color="auto"/>
                                                                <w:right w:val="none" w:sz="0" w:space="0" w:color="auto"/>
                                                              </w:divBdr>
                                                            </w:div>
                                                            <w:div w:id="747923188">
                                                              <w:marLeft w:val="0"/>
                                                              <w:marRight w:val="0"/>
                                                              <w:marTop w:val="0"/>
                                                              <w:marBottom w:val="0"/>
                                                              <w:divBdr>
                                                                <w:top w:val="none" w:sz="0" w:space="0" w:color="auto"/>
                                                                <w:left w:val="none" w:sz="0" w:space="0" w:color="auto"/>
                                                                <w:bottom w:val="none" w:sz="0" w:space="0" w:color="auto"/>
                                                                <w:right w:val="none" w:sz="0" w:space="0" w:color="auto"/>
                                                              </w:divBdr>
                                                            </w:div>
                                                            <w:div w:id="1086223264">
                                                              <w:marLeft w:val="0"/>
                                                              <w:marRight w:val="0"/>
                                                              <w:marTop w:val="0"/>
                                                              <w:marBottom w:val="0"/>
                                                              <w:divBdr>
                                                                <w:top w:val="none" w:sz="0" w:space="0" w:color="auto"/>
                                                                <w:left w:val="none" w:sz="0" w:space="0" w:color="auto"/>
                                                                <w:bottom w:val="none" w:sz="0" w:space="0" w:color="auto"/>
                                                                <w:right w:val="none" w:sz="0" w:space="0" w:color="auto"/>
                                                              </w:divBdr>
                                                            </w:div>
                                                          </w:divsChild>
                                                        </w:div>
                                                        <w:div w:id="299002022">
                                                          <w:marLeft w:val="0"/>
                                                          <w:marRight w:val="0"/>
                                                          <w:marTop w:val="0"/>
                                                          <w:marBottom w:val="0"/>
                                                          <w:divBdr>
                                                            <w:top w:val="none" w:sz="0" w:space="0" w:color="auto"/>
                                                            <w:left w:val="none" w:sz="0" w:space="0" w:color="auto"/>
                                                            <w:bottom w:val="none" w:sz="0" w:space="0" w:color="auto"/>
                                                            <w:right w:val="none" w:sz="0" w:space="0" w:color="auto"/>
                                                          </w:divBdr>
                                                        </w:div>
                                                        <w:div w:id="1207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690155">
      <w:bodyDiv w:val="1"/>
      <w:marLeft w:val="0"/>
      <w:marRight w:val="0"/>
      <w:marTop w:val="0"/>
      <w:marBottom w:val="0"/>
      <w:divBdr>
        <w:top w:val="none" w:sz="0" w:space="0" w:color="auto"/>
        <w:left w:val="none" w:sz="0" w:space="0" w:color="auto"/>
        <w:bottom w:val="none" w:sz="0" w:space="0" w:color="auto"/>
        <w:right w:val="none" w:sz="0" w:space="0" w:color="auto"/>
      </w:divBdr>
    </w:div>
    <w:div w:id="125973317">
      <w:bodyDiv w:val="1"/>
      <w:marLeft w:val="0"/>
      <w:marRight w:val="0"/>
      <w:marTop w:val="0"/>
      <w:marBottom w:val="0"/>
      <w:divBdr>
        <w:top w:val="none" w:sz="0" w:space="0" w:color="auto"/>
        <w:left w:val="none" w:sz="0" w:space="0" w:color="auto"/>
        <w:bottom w:val="none" w:sz="0" w:space="0" w:color="auto"/>
        <w:right w:val="none" w:sz="0" w:space="0" w:color="auto"/>
      </w:divBdr>
      <w:divsChild>
        <w:div w:id="2038578874">
          <w:marLeft w:val="0"/>
          <w:marRight w:val="0"/>
          <w:marTop w:val="0"/>
          <w:marBottom w:val="0"/>
          <w:divBdr>
            <w:top w:val="none" w:sz="0" w:space="0" w:color="auto"/>
            <w:left w:val="none" w:sz="0" w:space="0" w:color="auto"/>
            <w:bottom w:val="none" w:sz="0" w:space="0" w:color="auto"/>
            <w:right w:val="none" w:sz="0" w:space="0" w:color="auto"/>
          </w:divBdr>
          <w:divsChild>
            <w:div w:id="66613796">
              <w:marLeft w:val="0"/>
              <w:marRight w:val="0"/>
              <w:marTop w:val="0"/>
              <w:marBottom w:val="0"/>
              <w:divBdr>
                <w:top w:val="none" w:sz="0" w:space="0" w:color="auto"/>
                <w:left w:val="none" w:sz="0" w:space="0" w:color="auto"/>
                <w:bottom w:val="none" w:sz="0" w:space="0" w:color="auto"/>
                <w:right w:val="none" w:sz="0" w:space="0" w:color="auto"/>
              </w:divBdr>
              <w:divsChild>
                <w:div w:id="1734695432">
                  <w:marLeft w:val="0"/>
                  <w:marRight w:val="0"/>
                  <w:marTop w:val="0"/>
                  <w:marBottom w:val="0"/>
                  <w:divBdr>
                    <w:top w:val="none" w:sz="0" w:space="0" w:color="auto"/>
                    <w:left w:val="none" w:sz="0" w:space="0" w:color="auto"/>
                    <w:bottom w:val="none" w:sz="0" w:space="0" w:color="auto"/>
                    <w:right w:val="none" w:sz="0" w:space="0" w:color="auto"/>
                  </w:divBdr>
                  <w:divsChild>
                    <w:div w:id="1673336679">
                      <w:marLeft w:val="0"/>
                      <w:marRight w:val="0"/>
                      <w:marTop w:val="0"/>
                      <w:marBottom w:val="0"/>
                      <w:divBdr>
                        <w:top w:val="none" w:sz="0" w:space="0" w:color="auto"/>
                        <w:left w:val="none" w:sz="0" w:space="0" w:color="auto"/>
                        <w:bottom w:val="none" w:sz="0" w:space="0" w:color="auto"/>
                        <w:right w:val="none" w:sz="0" w:space="0" w:color="auto"/>
                      </w:divBdr>
                      <w:divsChild>
                        <w:div w:id="1179924907">
                          <w:marLeft w:val="0"/>
                          <w:marRight w:val="0"/>
                          <w:marTop w:val="0"/>
                          <w:marBottom w:val="0"/>
                          <w:divBdr>
                            <w:top w:val="none" w:sz="0" w:space="0" w:color="auto"/>
                            <w:left w:val="none" w:sz="0" w:space="0" w:color="auto"/>
                            <w:bottom w:val="none" w:sz="0" w:space="0" w:color="auto"/>
                            <w:right w:val="none" w:sz="0" w:space="0" w:color="auto"/>
                          </w:divBdr>
                          <w:divsChild>
                            <w:div w:id="8131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82412">
      <w:bodyDiv w:val="1"/>
      <w:marLeft w:val="0"/>
      <w:marRight w:val="0"/>
      <w:marTop w:val="0"/>
      <w:marBottom w:val="0"/>
      <w:divBdr>
        <w:top w:val="none" w:sz="0" w:space="0" w:color="auto"/>
        <w:left w:val="none" w:sz="0" w:space="0" w:color="auto"/>
        <w:bottom w:val="none" w:sz="0" w:space="0" w:color="auto"/>
        <w:right w:val="none" w:sz="0" w:space="0" w:color="auto"/>
      </w:divBdr>
      <w:divsChild>
        <w:div w:id="1014722164">
          <w:marLeft w:val="0"/>
          <w:marRight w:val="0"/>
          <w:marTop w:val="0"/>
          <w:marBottom w:val="0"/>
          <w:divBdr>
            <w:top w:val="none" w:sz="0" w:space="0" w:color="auto"/>
            <w:left w:val="none" w:sz="0" w:space="0" w:color="auto"/>
            <w:bottom w:val="none" w:sz="0" w:space="0" w:color="auto"/>
            <w:right w:val="none" w:sz="0" w:space="0" w:color="auto"/>
          </w:divBdr>
          <w:divsChild>
            <w:div w:id="339433119">
              <w:marLeft w:val="0"/>
              <w:marRight w:val="0"/>
              <w:marTop w:val="0"/>
              <w:marBottom w:val="0"/>
              <w:divBdr>
                <w:top w:val="none" w:sz="0" w:space="0" w:color="auto"/>
                <w:left w:val="none" w:sz="0" w:space="0" w:color="auto"/>
                <w:bottom w:val="none" w:sz="0" w:space="0" w:color="auto"/>
                <w:right w:val="none" w:sz="0" w:space="0" w:color="auto"/>
              </w:divBdr>
              <w:divsChild>
                <w:div w:id="502279605">
                  <w:marLeft w:val="0"/>
                  <w:marRight w:val="0"/>
                  <w:marTop w:val="0"/>
                  <w:marBottom w:val="0"/>
                  <w:divBdr>
                    <w:top w:val="none" w:sz="0" w:space="0" w:color="auto"/>
                    <w:left w:val="none" w:sz="0" w:space="0" w:color="auto"/>
                    <w:bottom w:val="none" w:sz="0" w:space="0" w:color="auto"/>
                    <w:right w:val="none" w:sz="0" w:space="0" w:color="auto"/>
                  </w:divBdr>
                  <w:divsChild>
                    <w:div w:id="1196430705">
                      <w:marLeft w:val="0"/>
                      <w:marRight w:val="0"/>
                      <w:marTop w:val="0"/>
                      <w:marBottom w:val="0"/>
                      <w:divBdr>
                        <w:top w:val="none" w:sz="0" w:space="0" w:color="auto"/>
                        <w:left w:val="none" w:sz="0" w:space="0" w:color="auto"/>
                        <w:bottom w:val="none" w:sz="0" w:space="0" w:color="auto"/>
                        <w:right w:val="none" w:sz="0" w:space="0" w:color="auto"/>
                      </w:divBdr>
                      <w:divsChild>
                        <w:div w:id="616326997">
                          <w:marLeft w:val="0"/>
                          <w:marRight w:val="0"/>
                          <w:marTop w:val="0"/>
                          <w:marBottom w:val="0"/>
                          <w:divBdr>
                            <w:top w:val="none" w:sz="0" w:space="0" w:color="auto"/>
                            <w:left w:val="none" w:sz="0" w:space="0" w:color="auto"/>
                            <w:bottom w:val="none" w:sz="0" w:space="0" w:color="auto"/>
                            <w:right w:val="none" w:sz="0" w:space="0" w:color="auto"/>
                          </w:divBdr>
                          <w:divsChild>
                            <w:div w:id="139777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1088">
      <w:bodyDiv w:val="1"/>
      <w:marLeft w:val="0"/>
      <w:marRight w:val="0"/>
      <w:marTop w:val="0"/>
      <w:marBottom w:val="0"/>
      <w:divBdr>
        <w:top w:val="none" w:sz="0" w:space="0" w:color="auto"/>
        <w:left w:val="none" w:sz="0" w:space="0" w:color="auto"/>
        <w:bottom w:val="none" w:sz="0" w:space="0" w:color="auto"/>
        <w:right w:val="none" w:sz="0" w:space="0" w:color="auto"/>
      </w:divBdr>
    </w:div>
    <w:div w:id="302588198">
      <w:bodyDiv w:val="1"/>
      <w:marLeft w:val="0"/>
      <w:marRight w:val="0"/>
      <w:marTop w:val="0"/>
      <w:marBottom w:val="0"/>
      <w:divBdr>
        <w:top w:val="none" w:sz="0" w:space="0" w:color="auto"/>
        <w:left w:val="none" w:sz="0" w:space="0" w:color="auto"/>
        <w:bottom w:val="none" w:sz="0" w:space="0" w:color="auto"/>
        <w:right w:val="none" w:sz="0" w:space="0" w:color="auto"/>
      </w:divBdr>
      <w:divsChild>
        <w:div w:id="734932775">
          <w:marLeft w:val="0"/>
          <w:marRight w:val="0"/>
          <w:marTop w:val="0"/>
          <w:marBottom w:val="0"/>
          <w:divBdr>
            <w:top w:val="none" w:sz="0" w:space="0" w:color="auto"/>
            <w:left w:val="none" w:sz="0" w:space="0" w:color="auto"/>
            <w:bottom w:val="none" w:sz="0" w:space="0" w:color="auto"/>
            <w:right w:val="none" w:sz="0" w:space="0" w:color="auto"/>
          </w:divBdr>
          <w:divsChild>
            <w:div w:id="69619358">
              <w:marLeft w:val="0"/>
              <w:marRight w:val="0"/>
              <w:marTop w:val="0"/>
              <w:marBottom w:val="0"/>
              <w:divBdr>
                <w:top w:val="none" w:sz="0" w:space="0" w:color="auto"/>
                <w:left w:val="none" w:sz="0" w:space="0" w:color="auto"/>
                <w:bottom w:val="none" w:sz="0" w:space="0" w:color="auto"/>
                <w:right w:val="none" w:sz="0" w:space="0" w:color="auto"/>
              </w:divBdr>
              <w:divsChild>
                <w:div w:id="226187871">
                  <w:marLeft w:val="0"/>
                  <w:marRight w:val="0"/>
                  <w:marTop w:val="0"/>
                  <w:marBottom w:val="0"/>
                  <w:divBdr>
                    <w:top w:val="none" w:sz="0" w:space="0" w:color="auto"/>
                    <w:left w:val="none" w:sz="0" w:space="0" w:color="auto"/>
                    <w:bottom w:val="none" w:sz="0" w:space="0" w:color="auto"/>
                    <w:right w:val="none" w:sz="0" w:space="0" w:color="auto"/>
                  </w:divBdr>
                  <w:divsChild>
                    <w:div w:id="639767343">
                      <w:marLeft w:val="0"/>
                      <w:marRight w:val="0"/>
                      <w:marTop w:val="0"/>
                      <w:marBottom w:val="0"/>
                      <w:divBdr>
                        <w:top w:val="none" w:sz="0" w:space="0" w:color="auto"/>
                        <w:left w:val="none" w:sz="0" w:space="0" w:color="auto"/>
                        <w:bottom w:val="none" w:sz="0" w:space="0" w:color="auto"/>
                        <w:right w:val="none" w:sz="0" w:space="0" w:color="auto"/>
                      </w:divBdr>
                      <w:divsChild>
                        <w:div w:id="1277522473">
                          <w:marLeft w:val="0"/>
                          <w:marRight w:val="0"/>
                          <w:marTop w:val="0"/>
                          <w:marBottom w:val="0"/>
                          <w:divBdr>
                            <w:top w:val="none" w:sz="0" w:space="0" w:color="auto"/>
                            <w:left w:val="none" w:sz="0" w:space="0" w:color="auto"/>
                            <w:bottom w:val="none" w:sz="0" w:space="0" w:color="auto"/>
                            <w:right w:val="none" w:sz="0" w:space="0" w:color="auto"/>
                          </w:divBdr>
                          <w:divsChild>
                            <w:div w:id="715004548">
                              <w:marLeft w:val="0"/>
                              <w:marRight w:val="0"/>
                              <w:marTop w:val="0"/>
                              <w:marBottom w:val="0"/>
                              <w:divBdr>
                                <w:top w:val="none" w:sz="0" w:space="0" w:color="auto"/>
                                <w:left w:val="none" w:sz="0" w:space="0" w:color="auto"/>
                                <w:bottom w:val="none" w:sz="0" w:space="0" w:color="auto"/>
                                <w:right w:val="none" w:sz="0" w:space="0" w:color="auto"/>
                              </w:divBdr>
                              <w:divsChild>
                                <w:div w:id="864056302">
                                  <w:marLeft w:val="0"/>
                                  <w:marRight w:val="0"/>
                                  <w:marTop w:val="0"/>
                                  <w:marBottom w:val="0"/>
                                  <w:divBdr>
                                    <w:top w:val="none" w:sz="0" w:space="0" w:color="auto"/>
                                    <w:left w:val="none" w:sz="0" w:space="0" w:color="auto"/>
                                    <w:bottom w:val="none" w:sz="0" w:space="0" w:color="auto"/>
                                    <w:right w:val="none" w:sz="0" w:space="0" w:color="auto"/>
                                  </w:divBdr>
                                  <w:divsChild>
                                    <w:div w:id="1733044051">
                                      <w:marLeft w:val="0"/>
                                      <w:marRight w:val="0"/>
                                      <w:marTop w:val="0"/>
                                      <w:marBottom w:val="0"/>
                                      <w:divBdr>
                                        <w:top w:val="none" w:sz="0" w:space="0" w:color="auto"/>
                                        <w:left w:val="none" w:sz="0" w:space="0" w:color="auto"/>
                                        <w:bottom w:val="none" w:sz="0" w:space="0" w:color="auto"/>
                                        <w:right w:val="none" w:sz="0" w:space="0" w:color="auto"/>
                                      </w:divBdr>
                                      <w:divsChild>
                                        <w:div w:id="158808628">
                                          <w:marLeft w:val="0"/>
                                          <w:marRight w:val="0"/>
                                          <w:marTop w:val="0"/>
                                          <w:marBottom w:val="0"/>
                                          <w:divBdr>
                                            <w:top w:val="none" w:sz="0" w:space="0" w:color="auto"/>
                                            <w:left w:val="none" w:sz="0" w:space="0" w:color="auto"/>
                                            <w:bottom w:val="none" w:sz="0" w:space="0" w:color="auto"/>
                                            <w:right w:val="none" w:sz="0" w:space="0" w:color="auto"/>
                                          </w:divBdr>
                                          <w:divsChild>
                                            <w:div w:id="696277702">
                                              <w:marLeft w:val="0"/>
                                              <w:marRight w:val="0"/>
                                              <w:marTop w:val="0"/>
                                              <w:marBottom w:val="0"/>
                                              <w:divBdr>
                                                <w:top w:val="none" w:sz="0" w:space="0" w:color="auto"/>
                                                <w:left w:val="none" w:sz="0" w:space="0" w:color="auto"/>
                                                <w:bottom w:val="none" w:sz="0" w:space="0" w:color="auto"/>
                                                <w:right w:val="none" w:sz="0" w:space="0" w:color="auto"/>
                                              </w:divBdr>
                                              <w:divsChild>
                                                <w:div w:id="714231748">
                                                  <w:marLeft w:val="0"/>
                                                  <w:marRight w:val="0"/>
                                                  <w:marTop w:val="0"/>
                                                  <w:marBottom w:val="0"/>
                                                  <w:divBdr>
                                                    <w:top w:val="none" w:sz="0" w:space="0" w:color="auto"/>
                                                    <w:left w:val="none" w:sz="0" w:space="0" w:color="auto"/>
                                                    <w:bottom w:val="none" w:sz="0" w:space="0" w:color="auto"/>
                                                    <w:right w:val="none" w:sz="0" w:space="0" w:color="auto"/>
                                                  </w:divBdr>
                                                  <w:divsChild>
                                                    <w:div w:id="1704593960">
                                                      <w:marLeft w:val="0"/>
                                                      <w:marRight w:val="0"/>
                                                      <w:marTop w:val="0"/>
                                                      <w:marBottom w:val="0"/>
                                                      <w:divBdr>
                                                        <w:top w:val="none" w:sz="0" w:space="0" w:color="auto"/>
                                                        <w:left w:val="none" w:sz="0" w:space="0" w:color="auto"/>
                                                        <w:bottom w:val="none" w:sz="0" w:space="0" w:color="auto"/>
                                                        <w:right w:val="none" w:sz="0" w:space="0" w:color="auto"/>
                                                      </w:divBdr>
                                                      <w:divsChild>
                                                        <w:div w:id="1372730791">
                                                          <w:marLeft w:val="0"/>
                                                          <w:marRight w:val="0"/>
                                                          <w:marTop w:val="0"/>
                                                          <w:marBottom w:val="0"/>
                                                          <w:divBdr>
                                                            <w:top w:val="none" w:sz="0" w:space="0" w:color="auto"/>
                                                            <w:left w:val="none" w:sz="0" w:space="0" w:color="auto"/>
                                                            <w:bottom w:val="none" w:sz="0" w:space="0" w:color="auto"/>
                                                            <w:right w:val="none" w:sz="0" w:space="0" w:color="auto"/>
                                                          </w:divBdr>
                                                          <w:divsChild>
                                                            <w:div w:id="1202133843">
                                                              <w:marLeft w:val="0"/>
                                                              <w:marRight w:val="0"/>
                                                              <w:marTop w:val="0"/>
                                                              <w:marBottom w:val="0"/>
                                                              <w:divBdr>
                                                                <w:top w:val="none" w:sz="0" w:space="0" w:color="auto"/>
                                                                <w:left w:val="none" w:sz="0" w:space="0" w:color="auto"/>
                                                                <w:bottom w:val="none" w:sz="0" w:space="0" w:color="auto"/>
                                                                <w:right w:val="none" w:sz="0" w:space="0" w:color="auto"/>
                                                              </w:divBdr>
                                                              <w:divsChild>
                                                                <w:div w:id="250050557">
                                                                  <w:marLeft w:val="0"/>
                                                                  <w:marRight w:val="0"/>
                                                                  <w:marTop w:val="0"/>
                                                                  <w:marBottom w:val="0"/>
                                                                  <w:divBdr>
                                                                    <w:top w:val="none" w:sz="0" w:space="0" w:color="auto"/>
                                                                    <w:left w:val="none" w:sz="0" w:space="0" w:color="auto"/>
                                                                    <w:bottom w:val="none" w:sz="0" w:space="0" w:color="auto"/>
                                                                    <w:right w:val="none" w:sz="0" w:space="0" w:color="auto"/>
                                                                  </w:divBdr>
                                                                  <w:divsChild>
                                                                    <w:div w:id="14243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0902821">
      <w:bodyDiv w:val="1"/>
      <w:marLeft w:val="0"/>
      <w:marRight w:val="0"/>
      <w:marTop w:val="0"/>
      <w:marBottom w:val="0"/>
      <w:divBdr>
        <w:top w:val="none" w:sz="0" w:space="0" w:color="auto"/>
        <w:left w:val="none" w:sz="0" w:space="0" w:color="auto"/>
        <w:bottom w:val="none" w:sz="0" w:space="0" w:color="auto"/>
        <w:right w:val="none" w:sz="0" w:space="0" w:color="auto"/>
      </w:divBdr>
    </w:div>
    <w:div w:id="431511977">
      <w:bodyDiv w:val="1"/>
      <w:marLeft w:val="0"/>
      <w:marRight w:val="0"/>
      <w:marTop w:val="0"/>
      <w:marBottom w:val="0"/>
      <w:divBdr>
        <w:top w:val="none" w:sz="0" w:space="0" w:color="auto"/>
        <w:left w:val="none" w:sz="0" w:space="0" w:color="auto"/>
        <w:bottom w:val="none" w:sz="0" w:space="0" w:color="auto"/>
        <w:right w:val="none" w:sz="0" w:space="0" w:color="auto"/>
      </w:divBdr>
      <w:divsChild>
        <w:div w:id="713115260">
          <w:marLeft w:val="0"/>
          <w:marRight w:val="0"/>
          <w:marTop w:val="0"/>
          <w:marBottom w:val="0"/>
          <w:divBdr>
            <w:top w:val="none" w:sz="0" w:space="0" w:color="auto"/>
            <w:left w:val="none" w:sz="0" w:space="0" w:color="auto"/>
            <w:bottom w:val="none" w:sz="0" w:space="0" w:color="auto"/>
            <w:right w:val="none" w:sz="0" w:space="0" w:color="auto"/>
          </w:divBdr>
          <w:divsChild>
            <w:div w:id="2040812000">
              <w:marLeft w:val="0"/>
              <w:marRight w:val="0"/>
              <w:marTop w:val="0"/>
              <w:marBottom w:val="0"/>
              <w:divBdr>
                <w:top w:val="none" w:sz="0" w:space="0" w:color="auto"/>
                <w:left w:val="none" w:sz="0" w:space="0" w:color="auto"/>
                <w:bottom w:val="none" w:sz="0" w:space="0" w:color="auto"/>
                <w:right w:val="none" w:sz="0" w:space="0" w:color="auto"/>
              </w:divBdr>
              <w:divsChild>
                <w:div w:id="1523855790">
                  <w:marLeft w:val="0"/>
                  <w:marRight w:val="0"/>
                  <w:marTop w:val="0"/>
                  <w:marBottom w:val="0"/>
                  <w:divBdr>
                    <w:top w:val="none" w:sz="0" w:space="0" w:color="auto"/>
                    <w:left w:val="none" w:sz="0" w:space="0" w:color="auto"/>
                    <w:bottom w:val="none" w:sz="0" w:space="0" w:color="auto"/>
                    <w:right w:val="none" w:sz="0" w:space="0" w:color="auto"/>
                  </w:divBdr>
                  <w:divsChild>
                    <w:div w:id="1543908437">
                      <w:marLeft w:val="0"/>
                      <w:marRight w:val="0"/>
                      <w:marTop w:val="0"/>
                      <w:marBottom w:val="0"/>
                      <w:divBdr>
                        <w:top w:val="none" w:sz="0" w:space="0" w:color="auto"/>
                        <w:left w:val="none" w:sz="0" w:space="0" w:color="auto"/>
                        <w:bottom w:val="none" w:sz="0" w:space="0" w:color="auto"/>
                        <w:right w:val="none" w:sz="0" w:space="0" w:color="auto"/>
                      </w:divBdr>
                      <w:divsChild>
                        <w:div w:id="1153912446">
                          <w:marLeft w:val="0"/>
                          <w:marRight w:val="0"/>
                          <w:marTop w:val="0"/>
                          <w:marBottom w:val="0"/>
                          <w:divBdr>
                            <w:top w:val="none" w:sz="0" w:space="0" w:color="auto"/>
                            <w:left w:val="none" w:sz="0" w:space="0" w:color="auto"/>
                            <w:bottom w:val="none" w:sz="0" w:space="0" w:color="auto"/>
                            <w:right w:val="none" w:sz="0" w:space="0" w:color="auto"/>
                          </w:divBdr>
                          <w:divsChild>
                            <w:div w:id="1581988449">
                              <w:marLeft w:val="0"/>
                              <w:marRight w:val="0"/>
                              <w:marTop w:val="0"/>
                              <w:marBottom w:val="0"/>
                              <w:divBdr>
                                <w:top w:val="none" w:sz="0" w:space="0" w:color="auto"/>
                                <w:left w:val="none" w:sz="0" w:space="0" w:color="auto"/>
                                <w:bottom w:val="none" w:sz="0" w:space="0" w:color="auto"/>
                                <w:right w:val="none" w:sz="0" w:space="0" w:color="auto"/>
                              </w:divBdr>
                              <w:divsChild>
                                <w:div w:id="612858871">
                                  <w:marLeft w:val="0"/>
                                  <w:marRight w:val="0"/>
                                  <w:marTop w:val="0"/>
                                  <w:marBottom w:val="0"/>
                                  <w:divBdr>
                                    <w:top w:val="none" w:sz="0" w:space="0" w:color="auto"/>
                                    <w:left w:val="none" w:sz="0" w:space="0" w:color="auto"/>
                                    <w:bottom w:val="none" w:sz="0" w:space="0" w:color="auto"/>
                                    <w:right w:val="none" w:sz="0" w:space="0" w:color="auto"/>
                                  </w:divBdr>
                                  <w:divsChild>
                                    <w:div w:id="742141663">
                                      <w:marLeft w:val="0"/>
                                      <w:marRight w:val="0"/>
                                      <w:marTop w:val="0"/>
                                      <w:marBottom w:val="0"/>
                                      <w:divBdr>
                                        <w:top w:val="none" w:sz="0" w:space="0" w:color="auto"/>
                                        <w:left w:val="none" w:sz="0" w:space="0" w:color="auto"/>
                                        <w:bottom w:val="none" w:sz="0" w:space="0" w:color="auto"/>
                                        <w:right w:val="none" w:sz="0" w:space="0" w:color="auto"/>
                                      </w:divBdr>
                                      <w:divsChild>
                                        <w:div w:id="1922640146">
                                          <w:marLeft w:val="0"/>
                                          <w:marRight w:val="0"/>
                                          <w:marTop w:val="0"/>
                                          <w:marBottom w:val="0"/>
                                          <w:divBdr>
                                            <w:top w:val="none" w:sz="0" w:space="0" w:color="auto"/>
                                            <w:left w:val="none" w:sz="0" w:space="0" w:color="auto"/>
                                            <w:bottom w:val="none" w:sz="0" w:space="0" w:color="auto"/>
                                            <w:right w:val="none" w:sz="0" w:space="0" w:color="auto"/>
                                          </w:divBdr>
                                          <w:divsChild>
                                            <w:div w:id="690255089">
                                              <w:marLeft w:val="0"/>
                                              <w:marRight w:val="0"/>
                                              <w:marTop w:val="0"/>
                                              <w:marBottom w:val="0"/>
                                              <w:divBdr>
                                                <w:top w:val="none" w:sz="0" w:space="0" w:color="auto"/>
                                                <w:left w:val="none" w:sz="0" w:space="0" w:color="auto"/>
                                                <w:bottom w:val="none" w:sz="0" w:space="0" w:color="auto"/>
                                                <w:right w:val="none" w:sz="0" w:space="0" w:color="auto"/>
                                              </w:divBdr>
                                              <w:divsChild>
                                                <w:div w:id="335425947">
                                                  <w:marLeft w:val="0"/>
                                                  <w:marRight w:val="0"/>
                                                  <w:marTop w:val="0"/>
                                                  <w:marBottom w:val="0"/>
                                                  <w:divBdr>
                                                    <w:top w:val="none" w:sz="0" w:space="0" w:color="auto"/>
                                                    <w:left w:val="none" w:sz="0" w:space="0" w:color="auto"/>
                                                    <w:bottom w:val="none" w:sz="0" w:space="0" w:color="auto"/>
                                                    <w:right w:val="none" w:sz="0" w:space="0" w:color="auto"/>
                                                  </w:divBdr>
                                                  <w:divsChild>
                                                    <w:div w:id="763651657">
                                                      <w:marLeft w:val="0"/>
                                                      <w:marRight w:val="0"/>
                                                      <w:marTop w:val="0"/>
                                                      <w:marBottom w:val="0"/>
                                                      <w:divBdr>
                                                        <w:top w:val="none" w:sz="0" w:space="0" w:color="auto"/>
                                                        <w:left w:val="none" w:sz="0" w:space="0" w:color="auto"/>
                                                        <w:bottom w:val="none" w:sz="0" w:space="0" w:color="auto"/>
                                                        <w:right w:val="none" w:sz="0" w:space="0" w:color="auto"/>
                                                      </w:divBdr>
                                                      <w:divsChild>
                                                        <w:div w:id="1866283190">
                                                          <w:marLeft w:val="0"/>
                                                          <w:marRight w:val="0"/>
                                                          <w:marTop w:val="0"/>
                                                          <w:marBottom w:val="0"/>
                                                          <w:divBdr>
                                                            <w:top w:val="none" w:sz="0" w:space="0" w:color="auto"/>
                                                            <w:left w:val="none" w:sz="0" w:space="0" w:color="auto"/>
                                                            <w:bottom w:val="none" w:sz="0" w:space="0" w:color="auto"/>
                                                            <w:right w:val="none" w:sz="0" w:space="0" w:color="auto"/>
                                                          </w:divBdr>
                                                          <w:divsChild>
                                                            <w:div w:id="2058046113">
                                                              <w:marLeft w:val="0"/>
                                                              <w:marRight w:val="0"/>
                                                              <w:marTop w:val="0"/>
                                                              <w:marBottom w:val="0"/>
                                                              <w:divBdr>
                                                                <w:top w:val="none" w:sz="0" w:space="0" w:color="auto"/>
                                                                <w:left w:val="none" w:sz="0" w:space="0" w:color="auto"/>
                                                                <w:bottom w:val="none" w:sz="0" w:space="0" w:color="auto"/>
                                                                <w:right w:val="none" w:sz="0" w:space="0" w:color="auto"/>
                                                              </w:divBdr>
                                                            </w:div>
                                                            <w:div w:id="312176263">
                                                              <w:marLeft w:val="0"/>
                                                              <w:marRight w:val="0"/>
                                                              <w:marTop w:val="0"/>
                                                              <w:marBottom w:val="0"/>
                                                              <w:divBdr>
                                                                <w:top w:val="none" w:sz="0" w:space="0" w:color="auto"/>
                                                                <w:left w:val="none" w:sz="0" w:space="0" w:color="auto"/>
                                                                <w:bottom w:val="none" w:sz="0" w:space="0" w:color="auto"/>
                                                                <w:right w:val="none" w:sz="0" w:space="0" w:color="auto"/>
                                                              </w:divBdr>
                                                            </w:div>
                                                            <w:div w:id="1592809690">
                                                              <w:marLeft w:val="0"/>
                                                              <w:marRight w:val="0"/>
                                                              <w:marTop w:val="0"/>
                                                              <w:marBottom w:val="0"/>
                                                              <w:divBdr>
                                                                <w:top w:val="none" w:sz="0" w:space="0" w:color="auto"/>
                                                                <w:left w:val="none" w:sz="0" w:space="0" w:color="auto"/>
                                                                <w:bottom w:val="none" w:sz="0" w:space="0" w:color="auto"/>
                                                                <w:right w:val="none" w:sz="0" w:space="0" w:color="auto"/>
                                                              </w:divBdr>
                                                            </w:div>
                                                            <w:div w:id="1169440769">
                                                              <w:marLeft w:val="0"/>
                                                              <w:marRight w:val="0"/>
                                                              <w:marTop w:val="0"/>
                                                              <w:marBottom w:val="0"/>
                                                              <w:divBdr>
                                                                <w:top w:val="none" w:sz="0" w:space="0" w:color="auto"/>
                                                                <w:left w:val="none" w:sz="0" w:space="0" w:color="auto"/>
                                                                <w:bottom w:val="none" w:sz="0" w:space="0" w:color="auto"/>
                                                                <w:right w:val="none" w:sz="0" w:space="0" w:color="auto"/>
                                                              </w:divBdr>
                                                            </w:div>
                                                            <w:div w:id="20860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2308708">
      <w:bodyDiv w:val="1"/>
      <w:marLeft w:val="0"/>
      <w:marRight w:val="0"/>
      <w:marTop w:val="0"/>
      <w:marBottom w:val="0"/>
      <w:divBdr>
        <w:top w:val="none" w:sz="0" w:space="0" w:color="auto"/>
        <w:left w:val="none" w:sz="0" w:space="0" w:color="auto"/>
        <w:bottom w:val="none" w:sz="0" w:space="0" w:color="auto"/>
        <w:right w:val="none" w:sz="0" w:space="0" w:color="auto"/>
      </w:divBdr>
      <w:divsChild>
        <w:div w:id="1466507110">
          <w:marLeft w:val="0"/>
          <w:marRight w:val="0"/>
          <w:marTop w:val="0"/>
          <w:marBottom w:val="0"/>
          <w:divBdr>
            <w:top w:val="none" w:sz="0" w:space="0" w:color="auto"/>
            <w:left w:val="none" w:sz="0" w:space="0" w:color="auto"/>
            <w:bottom w:val="none" w:sz="0" w:space="0" w:color="auto"/>
            <w:right w:val="none" w:sz="0" w:space="0" w:color="auto"/>
          </w:divBdr>
          <w:divsChild>
            <w:div w:id="1170679739">
              <w:marLeft w:val="0"/>
              <w:marRight w:val="0"/>
              <w:marTop w:val="0"/>
              <w:marBottom w:val="0"/>
              <w:divBdr>
                <w:top w:val="none" w:sz="0" w:space="0" w:color="auto"/>
                <w:left w:val="none" w:sz="0" w:space="0" w:color="auto"/>
                <w:bottom w:val="none" w:sz="0" w:space="0" w:color="auto"/>
                <w:right w:val="none" w:sz="0" w:space="0" w:color="auto"/>
              </w:divBdr>
              <w:divsChild>
                <w:div w:id="1303389205">
                  <w:marLeft w:val="0"/>
                  <w:marRight w:val="0"/>
                  <w:marTop w:val="0"/>
                  <w:marBottom w:val="0"/>
                  <w:divBdr>
                    <w:top w:val="none" w:sz="0" w:space="0" w:color="auto"/>
                    <w:left w:val="none" w:sz="0" w:space="0" w:color="auto"/>
                    <w:bottom w:val="none" w:sz="0" w:space="0" w:color="auto"/>
                    <w:right w:val="none" w:sz="0" w:space="0" w:color="auto"/>
                  </w:divBdr>
                  <w:divsChild>
                    <w:div w:id="249897108">
                      <w:marLeft w:val="0"/>
                      <w:marRight w:val="0"/>
                      <w:marTop w:val="0"/>
                      <w:marBottom w:val="0"/>
                      <w:divBdr>
                        <w:top w:val="none" w:sz="0" w:space="0" w:color="auto"/>
                        <w:left w:val="none" w:sz="0" w:space="0" w:color="auto"/>
                        <w:bottom w:val="none" w:sz="0" w:space="0" w:color="auto"/>
                        <w:right w:val="none" w:sz="0" w:space="0" w:color="auto"/>
                      </w:divBdr>
                      <w:divsChild>
                        <w:div w:id="1583027969">
                          <w:marLeft w:val="0"/>
                          <w:marRight w:val="0"/>
                          <w:marTop w:val="0"/>
                          <w:marBottom w:val="0"/>
                          <w:divBdr>
                            <w:top w:val="none" w:sz="0" w:space="0" w:color="auto"/>
                            <w:left w:val="none" w:sz="0" w:space="0" w:color="auto"/>
                            <w:bottom w:val="none" w:sz="0" w:space="0" w:color="auto"/>
                            <w:right w:val="none" w:sz="0" w:space="0" w:color="auto"/>
                          </w:divBdr>
                          <w:divsChild>
                            <w:div w:id="25494367">
                              <w:marLeft w:val="0"/>
                              <w:marRight w:val="0"/>
                              <w:marTop w:val="0"/>
                              <w:marBottom w:val="0"/>
                              <w:divBdr>
                                <w:top w:val="none" w:sz="0" w:space="0" w:color="auto"/>
                                <w:left w:val="none" w:sz="0" w:space="0" w:color="auto"/>
                                <w:bottom w:val="none" w:sz="0" w:space="0" w:color="auto"/>
                                <w:right w:val="none" w:sz="0" w:space="0" w:color="auto"/>
                              </w:divBdr>
                              <w:divsChild>
                                <w:div w:id="237979279">
                                  <w:marLeft w:val="0"/>
                                  <w:marRight w:val="0"/>
                                  <w:marTop w:val="0"/>
                                  <w:marBottom w:val="0"/>
                                  <w:divBdr>
                                    <w:top w:val="none" w:sz="0" w:space="0" w:color="auto"/>
                                    <w:left w:val="none" w:sz="0" w:space="0" w:color="auto"/>
                                    <w:bottom w:val="none" w:sz="0" w:space="0" w:color="auto"/>
                                    <w:right w:val="none" w:sz="0" w:space="0" w:color="auto"/>
                                  </w:divBdr>
                                  <w:divsChild>
                                    <w:div w:id="901452074">
                                      <w:marLeft w:val="0"/>
                                      <w:marRight w:val="0"/>
                                      <w:marTop w:val="0"/>
                                      <w:marBottom w:val="0"/>
                                      <w:divBdr>
                                        <w:top w:val="none" w:sz="0" w:space="0" w:color="auto"/>
                                        <w:left w:val="none" w:sz="0" w:space="0" w:color="auto"/>
                                        <w:bottom w:val="none" w:sz="0" w:space="0" w:color="auto"/>
                                        <w:right w:val="none" w:sz="0" w:space="0" w:color="auto"/>
                                      </w:divBdr>
                                      <w:divsChild>
                                        <w:div w:id="349992429">
                                          <w:marLeft w:val="0"/>
                                          <w:marRight w:val="0"/>
                                          <w:marTop w:val="0"/>
                                          <w:marBottom w:val="0"/>
                                          <w:divBdr>
                                            <w:top w:val="none" w:sz="0" w:space="0" w:color="auto"/>
                                            <w:left w:val="none" w:sz="0" w:space="0" w:color="auto"/>
                                            <w:bottom w:val="none" w:sz="0" w:space="0" w:color="auto"/>
                                            <w:right w:val="none" w:sz="0" w:space="0" w:color="auto"/>
                                          </w:divBdr>
                                          <w:divsChild>
                                            <w:div w:id="696928692">
                                              <w:marLeft w:val="0"/>
                                              <w:marRight w:val="0"/>
                                              <w:marTop w:val="0"/>
                                              <w:marBottom w:val="0"/>
                                              <w:divBdr>
                                                <w:top w:val="none" w:sz="0" w:space="0" w:color="auto"/>
                                                <w:left w:val="none" w:sz="0" w:space="0" w:color="auto"/>
                                                <w:bottom w:val="none" w:sz="0" w:space="0" w:color="auto"/>
                                                <w:right w:val="none" w:sz="0" w:space="0" w:color="auto"/>
                                              </w:divBdr>
                                              <w:divsChild>
                                                <w:div w:id="2036343228">
                                                  <w:marLeft w:val="0"/>
                                                  <w:marRight w:val="0"/>
                                                  <w:marTop w:val="0"/>
                                                  <w:marBottom w:val="0"/>
                                                  <w:divBdr>
                                                    <w:top w:val="none" w:sz="0" w:space="0" w:color="auto"/>
                                                    <w:left w:val="none" w:sz="0" w:space="0" w:color="auto"/>
                                                    <w:bottom w:val="none" w:sz="0" w:space="0" w:color="auto"/>
                                                    <w:right w:val="none" w:sz="0" w:space="0" w:color="auto"/>
                                                  </w:divBdr>
                                                  <w:divsChild>
                                                    <w:div w:id="240020270">
                                                      <w:marLeft w:val="0"/>
                                                      <w:marRight w:val="0"/>
                                                      <w:marTop w:val="0"/>
                                                      <w:marBottom w:val="0"/>
                                                      <w:divBdr>
                                                        <w:top w:val="none" w:sz="0" w:space="0" w:color="auto"/>
                                                        <w:left w:val="none" w:sz="0" w:space="0" w:color="auto"/>
                                                        <w:bottom w:val="none" w:sz="0" w:space="0" w:color="auto"/>
                                                        <w:right w:val="none" w:sz="0" w:space="0" w:color="auto"/>
                                                      </w:divBdr>
                                                      <w:divsChild>
                                                        <w:div w:id="86387352">
                                                          <w:marLeft w:val="0"/>
                                                          <w:marRight w:val="0"/>
                                                          <w:marTop w:val="0"/>
                                                          <w:marBottom w:val="0"/>
                                                          <w:divBdr>
                                                            <w:top w:val="none" w:sz="0" w:space="0" w:color="auto"/>
                                                            <w:left w:val="none" w:sz="0" w:space="0" w:color="auto"/>
                                                            <w:bottom w:val="none" w:sz="0" w:space="0" w:color="auto"/>
                                                            <w:right w:val="none" w:sz="0" w:space="0" w:color="auto"/>
                                                          </w:divBdr>
                                                          <w:divsChild>
                                                            <w:div w:id="1341466717">
                                                              <w:marLeft w:val="0"/>
                                                              <w:marRight w:val="0"/>
                                                              <w:marTop w:val="0"/>
                                                              <w:marBottom w:val="0"/>
                                                              <w:divBdr>
                                                                <w:top w:val="none" w:sz="0" w:space="0" w:color="auto"/>
                                                                <w:left w:val="none" w:sz="0" w:space="0" w:color="auto"/>
                                                                <w:bottom w:val="none" w:sz="0" w:space="0" w:color="auto"/>
                                                                <w:right w:val="none" w:sz="0" w:space="0" w:color="auto"/>
                                                              </w:divBdr>
                                                              <w:divsChild>
                                                                <w:div w:id="912934095">
                                                                  <w:marLeft w:val="0"/>
                                                                  <w:marRight w:val="0"/>
                                                                  <w:marTop w:val="0"/>
                                                                  <w:marBottom w:val="0"/>
                                                                  <w:divBdr>
                                                                    <w:top w:val="none" w:sz="0" w:space="0" w:color="auto"/>
                                                                    <w:left w:val="none" w:sz="0" w:space="0" w:color="auto"/>
                                                                    <w:bottom w:val="none" w:sz="0" w:space="0" w:color="auto"/>
                                                                    <w:right w:val="none" w:sz="0" w:space="0" w:color="auto"/>
                                                                  </w:divBdr>
                                                                  <w:divsChild>
                                                                    <w:div w:id="2679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9683277">
      <w:bodyDiv w:val="1"/>
      <w:marLeft w:val="0"/>
      <w:marRight w:val="0"/>
      <w:marTop w:val="0"/>
      <w:marBottom w:val="0"/>
      <w:divBdr>
        <w:top w:val="none" w:sz="0" w:space="0" w:color="auto"/>
        <w:left w:val="none" w:sz="0" w:space="0" w:color="auto"/>
        <w:bottom w:val="none" w:sz="0" w:space="0" w:color="auto"/>
        <w:right w:val="none" w:sz="0" w:space="0" w:color="auto"/>
      </w:divBdr>
      <w:divsChild>
        <w:div w:id="1230190867">
          <w:marLeft w:val="0"/>
          <w:marRight w:val="0"/>
          <w:marTop w:val="0"/>
          <w:marBottom w:val="0"/>
          <w:divBdr>
            <w:top w:val="none" w:sz="0" w:space="0" w:color="auto"/>
            <w:left w:val="none" w:sz="0" w:space="0" w:color="auto"/>
            <w:bottom w:val="none" w:sz="0" w:space="0" w:color="auto"/>
            <w:right w:val="none" w:sz="0" w:space="0" w:color="auto"/>
          </w:divBdr>
          <w:divsChild>
            <w:div w:id="1160460511">
              <w:marLeft w:val="0"/>
              <w:marRight w:val="0"/>
              <w:marTop w:val="0"/>
              <w:marBottom w:val="0"/>
              <w:divBdr>
                <w:top w:val="none" w:sz="0" w:space="0" w:color="auto"/>
                <w:left w:val="none" w:sz="0" w:space="0" w:color="auto"/>
                <w:bottom w:val="none" w:sz="0" w:space="0" w:color="auto"/>
                <w:right w:val="none" w:sz="0" w:space="0" w:color="auto"/>
              </w:divBdr>
              <w:divsChild>
                <w:div w:id="1405835405">
                  <w:marLeft w:val="0"/>
                  <w:marRight w:val="0"/>
                  <w:marTop w:val="0"/>
                  <w:marBottom w:val="0"/>
                  <w:divBdr>
                    <w:top w:val="none" w:sz="0" w:space="0" w:color="auto"/>
                    <w:left w:val="none" w:sz="0" w:space="0" w:color="auto"/>
                    <w:bottom w:val="none" w:sz="0" w:space="0" w:color="auto"/>
                    <w:right w:val="none" w:sz="0" w:space="0" w:color="auto"/>
                  </w:divBdr>
                  <w:divsChild>
                    <w:div w:id="844125532">
                      <w:marLeft w:val="0"/>
                      <w:marRight w:val="0"/>
                      <w:marTop w:val="0"/>
                      <w:marBottom w:val="0"/>
                      <w:divBdr>
                        <w:top w:val="none" w:sz="0" w:space="0" w:color="auto"/>
                        <w:left w:val="none" w:sz="0" w:space="0" w:color="auto"/>
                        <w:bottom w:val="none" w:sz="0" w:space="0" w:color="auto"/>
                        <w:right w:val="none" w:sz="0" w:space="0" w:color="auto"/>
                      </w:divBdr>
                      <w:divsChild>
                        <w:div w:id="284433771">
                          <w:marLeft w:val="0"/>
                          <w:marRight w:val="0"/>
                          <w:marTop w:val="0"/>
                          <w:marBottom w:val="0"/>
                          <w:divBdr>
                            <w:top w:val="none" w:sz="0" w:space="0" w:color="auto"/>
                            <w:left w:val="none" w:sz="0" w:space="0" w:color="auto"/>
                            <w:bottom w:val="none" w:sz="0" w:space="0" w:color="auto"/>
                            <w:right w:val="none" w:sz="0" w:space="0" w:color="auto"/>
                          </w:divBdr>
                          <w:divsChild>
                            <w:div w:id="1697845059">
                              <w:marLeft w:val="0"/>
                              <w:marRight w:val="0"/>
                              <w:marTop w:val="0"/>
                              <w:marBottom w:val="0"/>
                              <w:divBdr>
                                <w:top w:val="none" w:sz="0" w:space="0" w:color="auto"/>
                                <w:left w:val="none" w:sz="0" w:space="0" w:color="auto"/>
                                <w:bottom w:val="none" w:sz="0" w:space="0" w:color="auto"/>
                                <w:right w:val="none" w:sz="0" w:space="0" w:color="auto"/>
                              </w:divBdr>
                              <w:divsChild>
                                <w:div w:id="1569264574">
                                  <w:marLeft w:val="0"/>
                                  <w:marRight w:val="0"/>
                                  <w:marTop w:val="0"/>
                                  <w:marBottom w:val="0"/>
                                  <w:divBdr>
                                    <w:top w:val="none" w:sz="0" w:space="0" w:color="auto"/>
                                    <w:left w:val="none" w:sz="0" w:space="0" w:color="auto"/>
                                    <w:bottom w:val="none" w:sz="0" w:space="0" w:color="auto"/>
                                    <w:right w:val="none" w:sz="0" w:space="0" w:color="auto"/>
                                  </w:divBdr>
                                  <w:divsChild>
                                    <w:div w:id="934020452">
                                      <w:marLeft w:val="0"/>
                                      <w:marRight w:val="0"/>
                                      <w:marTop w:val="0"/>
                                      <w:marBottom w:val="0"/>
                                      <w:divBdr>
                                        <w:top w:val="none" w:sz="0" w:space="0" w:color="auto"/>
                                        <w:left w:val="none" w:sz="0" w:space="0" w:color="auto"/>
                                        <w:bottom w:val="none" w:sz="0" w:space="0" w:color="auto"/>
                                        <w:right w:val="none" w:sz="0" w:space="0" w:color="auto"/>
                                      </w:divBdr>
                                      <w:divsChild>
                                        <w:div w:id="1289166651">
                                          <w:marLeft w:val="0"/>
                                          <w:marRight w:val="0"/>
                                          <w:marTop w:val="0"/>
                                          <w:marBottom w:val="0"/>
                                          <w:divBdr>
                                            <w:top w:val="none" w:sz="0" w:space="0" w:color="auto"/>
                                            <w:left w:val="none" w:sz="0" w:space="0" w:color="auto"/>
                                            <w:bottom w:val="none" w:sz="0" w:space="0" w:color="auto"/>
                                            <w:right w:val="none" w:sz="0" w:space="0" w:color="auto"/>
                                          </w:divBdr>
                                          <w:divsChild>
                                            <w:div w:id="2111310721">
                                              <w:marLeft w:val="0"/>
                                              <w:marRight w:val="0"/>
                                              <w:marTop w:val="0"/>
                                              <w:marBottom w:val="0"/>
                                              <w:divBdr>
                                                <w:top w:val="none" w:sz="0" w:space="0" w:color="auto"/>
                                                <w:left w:val="none" w:sz="0" w:space="0" w:color="auto"/>
                                                <w:bottom w:val="none" w:sz="0" w:space="0" w:color="auto"/>
                                                <w:right w:val="none" w:sz="0" w:space="0" w:color="auto"/>
                                              </w:divBdr>
                                              <w:divsChild>
                                                <w:div w:id="1345355051">
                                                  <w:marLeft w:val="0"/>
                                                  <w:marRight w:val="0"/>
                                                  <w:marTop w:val="0"/>
                                                  <w:marBottom w:val="0"/>
                                                  <w:divBdr>
                                                    <w:top w:val="none" w:sz="0" w:space="0" w:color="auto"/>
                                                    <w:left w:val="none" w:sz="0" w:space="0" w:color="auto"/>
                                                    <w:bottom w:val="none" w:sz="0" w:space="0" w:color="auto"/>
                                                    <w:right w:val="none" w:sz="0" w:space="0" w:color="auto"/>
                                                  </w:divBdr>
                                                  <w:divsChild>
                                                    <w:div w:id="2052680957">
                                                      <w:marLeft w:val="0"/>
                                                      <w:marRight w:val="0"/>
                                                      <w:marTop w:val="0"/>
                                                      <w:marBottom w:val="0"/>
                                                      <w:divBdr>
                                                        <w:top w:val="none" w:sz="0" w:space="0" w:color="auto"/>
                                                        <w:left w:val="none" w:sz="0" w:space="0" w:color="auto"/>
                                                        <w:bottom w:val="none" w:sz="0" w:space="0" w:color="auto"/>
                                                        <w:right w:val="none" w:sz="0" w:space="0" w:color="auto"/>
                                                      </w:divBdr>
                                                      <w:divsChild>
                                                        <w:div w:id="14576565">
                                                          <w:marLeft w:val="0"/>
                                                          <w:marRight w:val="0"/>
                                                          <w:marTop w:val="0"/>
                                                          <w:marBottom w:val="0"/>
                                                          <w:divBdr>
                                                            <w:top w:val="none" w:sz="0" w:space="0" w:color="auto"/>
                                                            <w:left w:val="none" w:sz="0" w:space="0" w:color="auto"/>
                                                            <w:bottom w:val="none" w:sz="0" w:space="0" w:color="auto"/>
                                                            <w:right w:val="none" w:sz="0" w:space="0" w:color="auto"/>
                                                          </w:divBdr>
                                                          <w:divsChild>
                                                            <w:div w:id="343093857">
                                                              <w:marLeft w:val="0"/>
                                                              <w:marRight w:val="0"/>
                                                              <w:marTop w:val="0"/>
                                                              <w:marBottom w:val="0"/>
                                                              <w:divBdr>
                                                                <w:top w:val="none" w:sz="0" w:space="0" w:color="auto"/>
                                                                <w:left w:val="none" w:sz="0" w:space="0" w:color="auto"/>
                                                                <w:bottom w:val="none" w:sz="0" w:space="0" w:color="auto"/>
                                                                <w:right w:val="none" w:sz="0" w:space="0" w:color="auto"/>
                                                              </w:divBdr>
                                                            </w:div>
                                                            <w:div w:id="978339415">
                                                              <w:marLeft w:val="0"/>
                                                              <w:marRight w:val="0"/>
                                                              <w:marTop w:val="0"/>
                                                              <w:marBottom w:val="0"/>
                                                              <w:divBdr>
                                                                <w:top w:val="none" w:sz="0" w:space="0" w:color="auto"/>
                                                                <w:left w:val="none" w:sz="0" w:space="0" w:color="auto"/>
                                                                <w:bottom w:val="none" w:sz="0" w:space="0" w:color="auto"/>
                                                                <w:right w:val="none" w:sz="0" w:space="0" w:color="auto"/>
                                                              </w:divBdr>
                                                            </w:div>
                                                            <w:div w:id="285935289">
                                                              <w:marLeft w:val="0"/>
                                                              <w:marRight w:val="0"/>
                                                              <w:marTop w:val="0"/>
                                                              <w:marBottom w:val="0"/>
                                                              <w:divBdr>
                                                                <w:top w:val="none" w:sz="0" w:space="0" w:color="auto"/>
                                                                <w:left w:val="none" w:sz="0" w:space="0" w:color="auto"/>
                                                                <w:bottom w:val="none" w:sz="0" w:space="0" w:color="auto"/>
                                                                <w:right w:val="none" w:sz="0" w:space="0" w:color="auto"/>
                                                              </w:divBdr>
                                                            </w:div>
                                                          </w:divsChild>
                                                        </w:div>
                                                        <w:div w:id="369841410">
                                                          <w:marLeft w:val="0"/>
                                                          <w:marRight w:val="0"/>
                                                          <w:marTop w:val="0"/>
                                                          <w:marBottom w:val="0"/>
                                                          <w:divBdr>
                                                            <w:top w:val="none" w:sz="0" w:space="0" w:color="auto"/>
                                                            <w:left w:val="none" w:sz="0" w:space="0" w:color="auto"/>
                                                            <w:bottom w:val="none" w:sz="0" w:space="0" w:color="auto"/>
                                                            <w:right w:val="none" w:sz="0" w:space="0" w:color="auto"/>
                                                          </w:divBdr>
                                                        </w:div>
                                                        <w:div w:id="11748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29922">
      <w:bodyDiv w:val="1"/>
      <w:marLeft w:val="0"/>
      <w:marRight w:val="0"/>
      <w:marTop w:val="0"/>
      <w:marBottom w:val="0"/>
      <w:divBdr>
        <w:top w:val="none" w:sz="0" w:space="0" w:color="auto"/>
        <w:left w:val="none" w:sz="0" w:space="0" w:color="auto"/>
        <w:bottom w:val="none" w:sz="0" w:space="0" w:color="auto"/>
        <w:right w:val="none" w:sz="0" w:space="0" w:color="auto"/>
      </w:divBdr>
    </w:div>
    <w:div w:id="688143777">
      <w:bodyDiv w:val="1"/>
      <w:marLeft w:val="0"/>
      <w:marRight w:val="0"/>
      <w:marTop w:val="0"/>
      <w:marBottom w:val="0"/>
      <w:divBdr>
        <w:top w:val="none" w:sz="0" w:space="0" w:color="auto"/>
        <w:left w:val="none" w:sz="0" w:space="0" w:color="auto"/>
        <w:bottom w:val="none" w:sz="0" w:space="0" w:color="auto"/>
        <w:right w:val="none" w:sz="0" w:space="0" w:color="auto"/>
      </w:divBdr>
      <w:divsChild>
        <w:div w:id="1996251811">
          <w:marLeft w:val="0"/>
          <w:marRight w:val="0"/>
          <w:marTop w:val="0"/>
          <w:marBottom w:val="0"/>
          <w:divBdr>
            <w:top w:val="none" w:sz="0" w:space="0" w:color="auto"/>
            <w:left w:val="none" w:sz="0" w:space="0" w:color="auto"/>
            <w:bottom w:val="none" w:sz="0" w:space="0" w:color="auto"/>
            <w:right w:val="none" w:sz="0" w:space="0" w:color="auto"/>
          </w:divBdr>
          <w:divsChild>
            <w:div w:id="1858424157">
              <w:marLeft w:val="0"/>
              <w:marRight w:val="0"/>
              <w:marTop w:val="0"/>
              <w:marBottom w:val="0"/>
              <w:divBdr>
                <w:top w:val="none" w:sz="0" w:space="0" w:color="auto"/>
                <w:left w:val="none" w:sz="0" w:space="0" w:color="auto"/>
                <w:bottom w:val="none" w:sz="0" w:space="0" w:color="auto"/>
                <w:right w:val="none" w:sz="0" w:space="0" w:color="auto"/>
              </w:divBdr>
              <w:divsChild>
                <w:div w:id="2024089279">
                  <w:marLeft w:val="0"/>
                  <w:marRight w:val="0"/>
                  <w:marTop w:val="0"/>
                  <w:marBottom w:val="0"/>
                  <w:divBdr>
                    <w:top w:val="none" w:sz="0" w:space="0" w:color="auto"/>
                    <w:left w:val="none" w:sz="0" w:space="0" w:color="auto"/>
                    <w:bottom w:val="none" w:sz="0" w:space="0" w:color="auto"/>
                    <w:right w:val="none" w:sz="0" w:space="0" w:color="auto"/>
                  </w:divBdr>
                  <w:divsChild>
                    <w:div w:id="777525773">
                      <w:marLeft w:val="0"/>
                      <w:marRight w:val="0"/>
                      <w:marTop w:val="0"/>
                      <w:marBottom w:val="0"/>
                      <w:divBdr>
                        <w:top w:val="none" w:sz="0" w:space="0" w:color="auto"/>
                        <w:left w:val="none" w:sz="0" w:space="0" w:color="auto"/>
                        <w:bottom w:val="none" w:sz="0" w:space="0" w:color="auto"/>
                        <w:right w:val="none" w:sz="0" w:space="0" w:color="auto"/>
                      </w:divBdr>
                      <w:divsChild>
                        <w:div w:id="322465707">
                          <w:marLeft w:val="0"/>
                          <w:marRight w:val="0"/>
                          <w:marTop w:val="0"/>
                          <w:marBottom w:val="0"/>
                          <w:divBdr>
                            <w:top w:val="none" w:sz="0" w:space="0" w:color="auto"/>
                            <w:left w:val="none" w:sz="0" w:space="0" w:color="auto"/>
                            <w:bottom w:val="none" w:sz="0" w:space="0" w:color="auto"/>
                            <w:right w:val="none" w:sz="0" w:space="0" w:color="auto"/>
                          </w:divBdr>
                          <w:divsChild>
                            <w:div w:id="8605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05695">
      <w:bodyDiv w:val="1"/>
      <w:marLeft w:val="0"/>
      <w:marRight w:val="0"/>
      <w:marTop w:val="0"/>
      <w:marBottom w:val="0"/>
      <w:divBdr>
        <w:top w:val="none" w:sz="0" w:space="0" w:color="auto"/>
        <w:left w:val="none" w:sz="0" w:space="0" w:color="auto"/>
        <w:bottom w:val="none" w:sz="0" w:space="0" w:color="auto"/>
        <w:right w:val="none" w:sz="0" w:space="0" w:color="auto"/>
      </w:divBdr>
    </w:div>
    <w:div w:id="1214779920">
      <w:bodyDiv w:val="1"/>
      <w:marLeft w:val="0"/>
      <w:marRight w:val="0"/>
      <w:marTop w:val="0"/>
      <w:marBottom w:val="0"/>
      <w:divBdr>
        <w:top w:val="none" w:sz="0" w:space="0" w:color="auto"/>
        <w:left w:val="none" w:sz="0" w:space="0" w:color="auto"/>
        <w:bottom w:val="none" w:sz="0" w:space="0" w:color="auto"/>
        <w:right w:val="none" w:sz="0" w:space="0" w:color="auto"/>
      </w:divBdr>
      <w:divsChild>
        <w:div w:id="1425418765">
          <w:marLeft w:val="0"/>
          <w:marRight w:val="0"/>
          <w:marTop w:val="0"/>
          <w:marBottom w:val="0"/>
          <w:divBdr>
            <w:top w:val="none" w:sz="0" w:space="0" w:color="auto"/>
            <w:left w:val="none" w:sz="0" w:space="0" w:color="auto"/>
            <w:bottom w:val="none" w:sz="0" w:space="0" w:color="auto"/>
            <w:right w:val="none" w:sz="0" w:space="0" w:color="auto"/>
          </w:divBdr>
          <w:divsChild>
            <w:div w:id="1373916851">
              <w:marLeft w:val="0"/>
              <w:marRight w:val="0"/>
              <w:marTop w:val="0"/>
              <w:marBottom w:val="0"/>
              <w:divBdr>
                <w:top w:val="none" w:sz="0" w:space="0" w:color="auto"/>
                <w:left w:val="none" w:sz="0" w:space="0" w:color="auto"/>
                <w:bottom w:val="none" w:sz="0" w:space="0" w:color="auto"/>
                <w:right w:val="none" w:sz="0" w:space="0" w:color="auto"/>
              </w:divBdr>
              <w:divsChild>
                <w:div w:id="2141921758">
                  <w:marLeft w:val="0"/>
                  <w:marRight w:val="0"/>
                  <w:marTop w:val="0"/>
                  <w:marBottom w:val="0"/>
                  <w:divBdr>
                    <w:top w:val="none" w:sz="0" w:space="0" w:color="auto"/>
                    <w:left w:val="none" w:sz="0" w:space="0" w:color="auto"/>
                    <w:bottom w:val="none" w:sz="0" w:space="0" w:color="auto"/>
                    <w:right w:val="none" w:sz="0" w:space="0" w:color="auto"/>
                  </w:divBdr>
                  <w:divsChild>
                    <w:div w:id="2012372905">
                      <w:marLeft w:val="0"/>
                      <w:marRight w:val="0"/>
                      <w:marTop w:val="0"/>
                      <w:marBottom w:val="0"/>
                      <w:divBdr>
                        <w:top w:val="none" w:sz="0" w:space="0" w:color="auto"/>
                        <w:left w:val="none" w:sz="0" w:space="0" w:color="auto"/>
                        <w:bottom w:val="none" w:sz="0" w:space="0" w:color="auto"/>
                        <w:right w:val="none" w:sz="0" w:space="0" w:color="auto"/>
                      </w:divBdr>
                      <w:divsChild>
                        <w:div w:id="1787039531">
                          <w:marLeft w:val="0"/>
                          <w:marRight w:val="0"/>
                          <w:marTop w:val="0"/>
                          <w:marBottom w:val="0"/>
                          <w:divBdr>
                            <w:top w:val="none" w:sz="0" w:space="0" w:color="auto"/>
                            <w:left w:val="none" w:sz="0" w:space="0" w:color="auto"/>
                            <w:bottom w:val="none" w:sz="0" w:space="0" w:color="auto"/>
                            <w:right w:val="none" w:sz="0" w:space="0" w:color="auto"/>
                          </w:divBdr>
                          <w:divsChild>
                            <w:div w:id="785538791">
                              <w:marLeft w:val="0"/>
                              <w:marRight w:val="0"/>
                              <w:marTop w:val="0"/>
                              <w:marBottom w:val="0"/>
                              <w:divBdr>
                                <w:top w:val="none" w:sz="0" w:space="0" w:color="auto"/>
                                <w:left w:val="none" w:sz="0" w:space="0" w:color="auto"/>
                                <w:bottom w:val="none" w:sz="0" w:space="0" w:color="auto"/>
                                <w:right w:val="none" w:sz="0" w:space="0" w:color="auto"/>
                              </w:divBdr>
                              <w:divsChild>
                                <w:div w:id="81224302">
                                  <w:marLeft w:val="0"/>
                                  <w:marRight w:val="0"/>
                                  <w:marTop w:val="0"/>
                                  <w:marBottom w:val="0"/>
                                  <w:divBdr>
                                    <w:top w:val="none" w:sz="0" w:space="0" w:color="auto"/>
                                    <w:left w:val="none" w:sz="0" w:space="0" w:color="auto"/>
                                    <w:bottom w:val="none" w:sz="0" w:space="0" w:color="auto"/>
                                    <w:right w:val="none" w:sz="0" w:space="0" w:color="auto"/>
                                  </w:divBdr>
                                  <w:divsChild>
                                    <w:div w:id="1115443970">
                                      <w:marLeft w:val="0"/>
                                      <w:marRight w:val="0"/>
                                      <w:marTop w:val="0"/>
                                      <w:marBottom w:val="0"/>
                                      <w:divBdr>
                                        <w:top w:val="none" w:sz="0" w:space="0" w:color="auto"/>
                                        <w:left w:val="none" w:sz="0" w:space="0" w:color="auto"/>
                                        <w:bottom w:val="none" w:sz="0" w:space="0" w:color="auto"/>
                                        <w:right w:val="none" w:sz="0" w:space="0" w:color="auto"/>
                                      </w:divBdr>
                                      <w:divsChild>
                                        <w:div w:id="1231965441">
                                          <w:marLeft w:val="0"/>
                                          <w:marRight w:val="0"/>
                                          <w:marTop w:val="0"/>
                                          <w:marBottom w:val="0"/>
                                          <w:divBdr>
                                            <w:top w:val="none" w:sz="0" w:space="0" w:color="auto"/>
                                            <w:left w:val="none" w:sz="0" w:space="0" w:color="auto"/>
                                            <w:bottom w:val="none" w:sz="0" w:space="0" w:color="auto"/>
                                            <w:right w:val="none" w:sz="0" w:space="0" w:color="auto"/>
                                          </w:divBdr>
                                          <w:divsChild>
                                            <w:div w:id="45835757">
                                              <w:marLeft w:val="0"/>
                                              <w:marRight w:val="0"/>
                                              <w:marTop w:val="0"/>
                                              <w:marBottom w:val="0"/>
                                              <w:divBdr>
                                                <w:top w:val="none" w:sz="0" w:space="0" w:color="auto"/>
                                                <w:left w:val="none" w:sz="0" w:space="0" w:color="auto"/>
                                                <w:bottom w:val="none" w:sz="0" w:space="0" w:color="auto"/>
                                                <w:right w:val="none" w:sz="0" w:space="0" w:color="auto"/>
                                              </w:divBdr>
                                              <w:divsChild>
                                                <w:div w:id="2126846010">
                                                  <w:marLeft w:val="0"/>
                                                  <w:marRight w:val="0"/>
                                                  <w:marTop w:val="0"/>
                                                  <w:marBottom w:val="0"/>
                                                  <w:divBdr>
                                                    <w:top w:val="none" w:sz="0" w:space="0" w:color="auto"/>
                                                    <w:left w:val="none" w:sz="0" w:space="0" w:color="auto"/>
                                                    <w:bottom w:val="none" w:sz="0" w:space="0" w:color="auto"/>
                                                    <w:right w:val="none" w:sz="0" w:space="0" w:color="auto"/>
                                                  </w:divBdr>
                                                  <w:divsChild>
                                                    <w:div w:id="1230000891">
                                                      <w:marLeft w:val="0"/>
                                                      <w:marRight w:val="0"/>
                                                      <w:marTop w:val="0"/>
                                                      <w:marBottom w:val="0"/>
                                                      <w:divBdr>
                                                        <w:top w:val="none" w:sz="0" w:space="0" w:color="auto"/>
                                                        <w:left w:val="none" w:sz="0" w:space="0" w:color="auto"/>
                                                        <w:bottom w:val="none" w:sz="0" w:space="0" w:color="auto"/>
                                                        <w:right w:val="none" w:sz="0" w:space="0" w:color="auto"/>
                                                      </w:divBdr>
                                                      <w:divsChild>
                                                        <w:div w:id="1515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2450509">
      <w:bodyDiv w:val="1"/>
      <w:marLeft w:val="0"/>
      <w:marRight w:val="0"/>
      <w:marTop w:val="0"/>
      <w:marBottom w:val="0"/>
      <w:divBdr>
        <w:top w:val="none" w:sz="0" w:space="0" w:color="auto"/>
        <w:left w:val="none" w:sz="0" w:space="0" w:color="auto"/>
        <w:bottom w:val="none" w:sz="0" w:space="0" w:color="auto"/>
        <w:right w:val="none" w:sz="0" w:space="0" w:color="auto"/>
      </w:divBdr>
      <w:divsChild>
        <w:div w:id="305597416">
          <w:marLeft w:val="0"/>
          <w:marRight w:val="0"/>
          <w:marTop w:val="0"/>
          <w:marBottom w:val="0"/>
          <w:divBdr>
            <w:top w:val="none" w:sz="0" w:space="0" w:color="auto"/>
            <w:left w:val="none" w:sz="0" w:space="0" w:color="auto"/>
            <w:bottom w:val="none" w:sz="0" w:space="0" w:color="auto"/>
            <w:right w:val="none" w:sz="0" w:space="0" w:color="auto"/>
          </w:divBdr>
          <w:divsChild>
            <w:div w:id="1246458561">
              <w:marLeft w:val="0"/>
              <w:marRight w:val="0"/>
              <w:marTop w:val="0"/>
              <w:marBottom w:val="0"/>
              <w:divBdr>
                <w:top w:val="none" w:sz="0" w:space="0" w:color="auto"/>
                <w:left w:val="none" w:sz="0" w:space="0" w:color="auto"/>
                <w:bottom w:val="none" w:sz="0" w:space="0" w:color="auto"/>
                <w:right w:val="none" w:sz="0" w:space="0" w:color="auto"/>
              </w:divBdr>
              <w:divsChild>
                <w:div w:id="997542265">
                  <w:marLeft w:val="0"/>
                  <w:marRight w:val="0"/>
                  <w:marTop w:val="0"/>
                  <w:marBottom w:val="0"/>
                  <w:divBdr>
                    <w:top w:val="none" w:sz="0" w:space="0" w:color="auto"/>
                    <w:left w:val="none" w:sz="0" w:space="0" w:color="auto"/>
                    <w:bottom w:val="none" w:sz="0" w:space="0" w:color="auto"/>
                    <w:right w:val="none" w:sz="0" w:space="0" w:color="auto"/>
                  </w:divBdr>
                  <w:divsChild>
                    <w:div w:id="1261257634">
                      <w:marLeft w:val="0"/>
                      <w:marRight w:val="0"/>
                      <w:marTop w:val="0"/>
                      <w:marBottom w:val="0"/>
                      <w:divBdr>
                        <w:top w:val="none" w:sz="0" w:space="0" w:color="auto"/>
                        <w:left w:val="none" w:sz="0" w:space="0" w:color="auto"/>
                        <w:bottom w:val="none" w:sz="0" w:space="0" w:color="auto"/>
                        <w:right w:val="none" w:sz="0" w:space="0" w:color="auto"/>
                      </w:divBdr>
                      <w:divsChild>
                        <w:div w:id="1570385735">
                          <w:marLeft w:val="0"/>
                          <w:marRight w:val="0"/>
                          <w:marTop w:val="0"/>
                          <w:marBottom w:val="0"/>
                          <w:divBdr>
                            <w:top w:val="none" w:sz="0" w:space="0" w:color="auto"/>
                            <w:left w:val="none" w:sz="0" w:space="0" w:color="auto"/>
                            <w:bottom w:val="none" w:sz="0" w:space="0" w:color="auto"/>
                            <w:right w:val="none" w:sz="0" w:space="0" w:color="auto"/>
                          </w:divBdr>
                          <w:divsChild>
                            <w:div w:id="1343968421">
                              <w:marLeft w:val="0"/>
                              <w:marRight w:val="0"/>
                              <w:marTop w:val="0"/>
                              <w:marBottom w:val="0"/>
                              <w:divBdr>
                                <w:top w:val="none" w:sz="0" w:space="0" w:color="auto"/>
                                <w:left w:val="none" w:sz="0" w:space="0" w:color="auto"/>
                                <w:bottom w:val="none" w:sz="0" w:space="0" w:color="auto"/>
                                <w:right w:val="none" w:sz="0" w:space="0" w:color="auto"/>
                              </w:divBdr>
                              <w:divsChild>
                                <w:div w:id="1538202101">
                                  <w:marLeft w:val="0"/>
                                  <w:marRight w:val="0"/>
                                  <w:marTop w:val="0"/>
                                  <w:marBottom w:val="0"/>
                                  <w:divBdr>
                                    <w:top w:val="none" w:sz="0" w:space="0" w:color="auto"/>
                                    <w:left w:val="none" w:sz="0" w:space="0" w:color="auto"/>
                                    <w:bottom w:val="none" w:sz="0" w:space="0" w:color="auto"/>
                                    <w:right w:val="none" w:sz="0" w:space="0" w:color="auto"/>
                                  </w:divBdr>
                                  <w:divsChild>
                                    <w:div w:id="84153034">
                                      <w:marLeft w:val="0"/>
                                      <w:marRight w:val="0"/>
                                      <w:marTop w:val="0"/>
                                      <w:marBottom w:val="0"/>
                                      <w:divBdr>
                                        <w:top w:val="none" w:sz="0" w:space="0" w:color="auto"/>
                                        <w:left w:val="none" w:sz="0" w:space="0" w:color="auto"/>
                                        <w:bottom w:val="none" w:sz="0" w:space="0" w:color="auto"/>
                                        <w:right w:val="none" w:sz="0" w:space="0" w:color="auto"/>
                                      </w:divBdr>
                                      <w:divsChild>
                                        <w:div w:id="591821115">
                                          <w:marLeft w:val="0"/>
                                          <w:marRight w:val="0"/>
                                          <w:marTop w:val="0"/>
                                          <w:marBottom w:val="0"/>
                                          <w:divBdr>
                                            <w:top w:val="none" w:sz="0" w:space="0" w:color="auto"/>
                                            <w:left w:val="none" w:sz="0" w:space="0" w:color="auto"/>
                                            <w:bottom w:val="none" w:sz="0" w:space="0" w:color="auto"/>
                                            <w:right w:val="none" w:sz="0" w:space="0" w:color="auto"/>
                                          </w:divBdr>
                                          <w:divsChild>
                                            <w:div w:id="1359156877">
                                              <w:marLeft w:val="0"/>
                                              <w:marRight w:val="0"/>
                                              <w:marTop w:val="0"/>
                                              <w:marBottom w:val="0"/>
                                              <w:divBdr>
                                                <w:top w:val="none" w:sz="0" w:space="0" w:color="auto"/>
                                                <w:left w:val="none" w:sz="0" w:space="0" w:color="auto"/>
                                                <w:bottom w:val="none" w:sz="0" w:space="0" w:color="auto"/>
                                                <w:right w:val="none" w:sz="0" w:space="0" w:color="auto"/>
                                              </w:divBdr>
                                              <w:divsChild>
                                                <w:div w:id="688336077">
                                                  <w:marLeft w:val="0"/>
                                                  <w:marRight w:val="0"/>
                                                  <w:marTop w:val="0"/>
                                                  <w:marBottom w:val="0"/>
                                                  <w:divBdr>
                                                    <w:top w:val="none" w:sz="0" w:space="0" w:color="auto"/>
                                                    <w:left w:val="none" w:sz="0" w:space="0" w:color="auto"/>
                                                    <w:bottom w:val="none" w:sz="0" w:space="0" w:color="auto"/>
                                                    <w:right w:val="none" w:sz="0" w:space="0" w:color="auto"/>
                                                  </w:divBdr>
                                                  <w:divsChild>
                                                    <w:div w:id="174227045">
                                                      <w:marLeft w:val="0"/>
                                                      <w:marRight w:val="0"/>
                                                      <w:marTop w:val="0"/>
                                                      <w:marBottom w:val="0"/>
                                                      <w:divBdr>
                                                        <w:top w:val="none" w:sz="0" w:space="0" w:color="auto"/>
                                                        <w:left w:val="none" w:sz="0" w:space="0" w:color="auto"/>
                                                        <w:bottom w:val="none" w:sz="0" w:space="0" w:color="auto"/>
                                                        <w:right w:val="none" w:sz="0" w:space="0" w:color="auto"/>
                                                      </w:divBdr>
                                                      <w:divsChild>
                                                        <w:div w:id="2522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4914698">
      <w:bodyDiv w:val="1"/>
      <w:marLeft w:val="0"/>
      <w:marRight w:val="0"/>
      <w:marTop w:val="0"/>
      <w:marBottom w:val="0"/>
      <w:divBdr>
        <w:top w:val="none" w:sz="0" w:space="0" w:color="auto"/>
        <w:left w:val="none" w:sz="0" w:space="0" w:color="auto"/>
        <w:bottom w:val="none" w:sz="0" w:space="0" w:color="auto"/>
        <w:right w:val="none" w:sz="0" w:space="0" w:color="auto"/>
      </w:divBdr>
    </w:div>
    <w:div w:id="1477722533">
      <w:bodyDiv w:val="1"/>
      <w:marLeft w:val="0"/>
      <w:marRight w:val="0"/>
      <w:marTop w:val="0"/>
      <w:marBottom w:val="0"/>
      <w:divBdr>
        <w:top w:val="none" w:sz="0" w:space="0" w:color="auto"/>
        <w:left w:val="none" w:sz="0" w:space="0" w:color="auto"/>
        <w:bottom w:val="none" w:sz="0" w:space="0" w:color="auto"/>
        <w:right w:val="none" w:sz="0" w:space="0" w:color="auto"/>
      </w:divBdr>
      <w:divsChild>
        <w:div w:id="1594243535">
          <w:marLeft w:val="0"/>
          <w:marRight w:val="0"/>
          <w:marTop w:val="0"/>
          <w:marBottom w:val="0"/>
          <w:divBdr>
            <w:top w:val="none" w:sz="0" w:space="0" w:color="auto"/>
            <w:left w:val="none" w:sz="0" w:space="0" w:color="auto"/>
            <w:bottom w:val="none" w:sz="0" w:space="0" w:color="auto"/>
            <w:right w:val="none" w:sz="0" w:space="0" w:color="auto"/>
          </w:divBdr>
          <w:divsChild>
            <w:div w:id="1052925013">
              <w:marLeft w:val="0"/>
              <w:marRight w:val="0"/>
              <w:marTop w:val="0"/>
              <w:marBottom w:val="0"/>
              <w:divBdr>
                <w:top w:val="none" w:sz="0" w:space="0" w:color="auto"/>
                <w:left w:val="none" w:sz="0" w:space="0" w:color="auto"/>
                <w:bottom w:val="none" w:sz="0" w:space="0" w:color="auto"/>
                <w:right w:val="none" w:sz="0" w:space="0" w:color="auto"/>
              </w:divBdr>
              <w:divsChild>
                <w:div w:id="1199470572">
                  <w:marLeft w:val="0"/>
                  <w:marRight w:val="0"/>
                  <w:marTop w:val="0"/>
                  <w:marBottom w:val="0"/>
                  <w:divBdr>
                    <w:top w:val="none" w:sz="0" w:space="0" w:color="auto"/>
                    <w:left w:val="none" w:sz="0" w:space="0" w:color="auto"/>
                    <w:bottom w:val="none" w:sz="0" w:space="0" w:color="auto"/>
                    <w:right w:val="none" w:sz="0" w:space="0" w:color="auto"/>
                  </w:divBdr>
                  <w:divsChild>
                    <w:div w:id="1860001026">
                      <w:marLeft w:val="0"/>
                      <w:marRight w:val="0"/>
                      <w:marTop w:val="0"/>
                      <w:marBottom w:val="0"/>
                      <w:divBdr>
                        <w:top w:val="none" w:sz="0" w:space="0" w:color="auto"/>
                        <w:left w:val="none" w:sz="0" w:space="0" w:color="auto"/>
                        <w:bottom w:val="none" w:sz="0" w:space="0" w:color="auto"/>
                        <w:right w:val="none" w:sz="0" w:space="0" w:color="auto"/>
                      </w:divBdr>
                      <w:divsChild>
                        <w:div w:id="876773167">
                          <w:marLeft w:val="0"/>
                          <w:marRight w:val="0"/>
                          <w:marTop w:val="0"/>
                          <w:marBottom w:val="0"/>
                          <w:divBdr>
                            <w:top w:val="none" w:sz="0" w:space="0" w:color="auto"/>
                            <w:left w:val="none" w:sz="0" w:space="0" w:color="auto"/>
                            <w:bottom w:val="none" w:sz="0" w:space="0" w:color="auto"/>
                            <w:right w:val="none" w:sz="0" w:space="0" w:color="auto"/>
                          </w:divBdr>
                          <w:divsChild>
                            <w:div w:id="11959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191880">
      <w:bodyDiv w:val="1"/>
      <w:marLeft w:val="0"/>
      <w:marRight w:val="0"/>
      <w:marTop w:val="0"/>
      <w:marBottom w:val="0"/>
      <w:divBdr>
        <w:top w:val="none" w:sz="0" w:space="0" w:color="auto"/>
        <w:left w:val="none" w:sz="0" w:space="0" w:color="auto"/>
        <w:bottom w:val="none" w:sz="0" w:space="0" w:color="auto"/>
        <w:right w:val="none" w:sz="0" w:space="0" w:color="auto"/>
      </w:divBdr>
    </w:div>
    <w:div w:id="1829326782">
      <w:bodyDiv w:val="1"/>
      <w:marLeft w:val="0"/>
      <w:marRight w:val="0"/>
      <w:marTop w:val="0"/>
      <w:marBottom w:val="0"/>
      <w:divBdr>
        <w:top w:val="none" w:sz="0" w:space="0" w:color="auto"/>
        <w:left w:val="none" w:sz="0" w:space="0" w:color="auto"/>
        <w:bottom w:val="none" w:sz="0" w:space="0" w:color="auto"/>
        <w:right w:val="none" w:sz="0" w:space="0" w:color="auto"/>
      </w:divBdr>
      <w:divsChild>
        <w:div w:id="1589577725">
          <w:marLeft w:val="0"/>
          <w:marRight w:val="0"/>
          <w:marTop w:val="0"/>
          <w:marBottom w:val="0"/>
          <w:divBdr>
            <w:top w:val="none" w:sz="0" w:space="0" w:color="auto"/>
            <w:left w:val="none" w:sz="0" w:space="0" w:color="auto"/>
            <w:bottom w:val="none" w:sz="0" w:space="0" w:color="auto"/>
            <w:right w:val="none" w:sz="0" w:space="0" w:color="auto"/>
          </w:divBdr>
          <w:divsChild>
            <w:div w:id="968045671">
              <w:marLeft w:val="0"/>
              <w:marRight w:val="0"/>
              <w:marTop w:val="0"/>
              <w:marBottom w:val="0"/>
              <w:divBdr>
                <w:top w:val="none" w:sz="0" w:space="0" w:color="auto"/>
                <w:left w:val="none" w:sz="0" w:space="0" w:color="auto"/>
                <w:bottom w:val="none" w:sz="0" w:space="0" w:color="auto"/>
                <w:right w:val="none" w:sz="0" w:space="0" w:color="auto"/>
              </w:divBdr>
              <w:divsChild>
                <w:div w:id="668366434">
                  <w:marLeft w:val="0"/>
                  <w:marRight w:val="0"/>
                  <w:marTop w:val="0"/>
                  <w:marBottom w:val="0"/>
                  <w:divBdr>
                    <w:top w:val="none" w:sz="0" w:space="0" w:color="auto"/>
                    <w:left w:val="none" w:sz="0" w:space="0" w:color="auto"/>
                    <w:bottom w:val="none" w:sz="0" w:space="0" w:color="auto"/>
                    <w:right w:val="none" w:sz="0" w:space="0" w:color="auto"/>
                  </w:divBdr>
                  <w:divsChild>
                    <w:div w:id="1898667506">
                      <w:marLeft w:val="0"/>
                      <w:marRight w:val="0"/>
                      <w:marTop w:val="0"/>
                      <w:marBottom w:val="0"/>
                      <w:divBdr>
                        <w:top w:val="none" w:sz="0" w:space="0" w:color="auto"/>
                        <w:left w:val="none" w:sz="0" w:space="0" w:color="auto"/>
                        <w:bottom w:val="none" w:sz="0" w:space="0" w:color="auto"/>
                        <w:right w:val="none" w:sz="0" w:space="0" w:color="auto"/>
                      </w:divBdr>
                      <w:divsChild>
                        <w:div w:id="1358235154">
                          <w:marLeft w:val="0"/>
                          <w:marRight w:val="0"/>
                          <w:marTop w:val="0"/>
                          <w:marBottom w:val="0"/>
                          <w:divBdr>
                            <w:top w:val="none" w:sz="0" w:space="0" w:color="auto"/>
                            <w:left w:val="none" w:sz="0" w:space="0" w:color="auto"/>
                            <w:bottom w:val="none" w:sz="0" w:space="0" w:color="auto"/>
                            <w:right w:val="none" w:sz="0" w:space="0" w:color="auto"/>
                          </w:divBdr>
                          <w:divsChild>
                            <w:div w:id="11447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787793">
      <w:bodyDiv w:val="1"/>
      <w:marLeft w:val="0"/>
      <w:marRight w:val="0"/>
      <w:marTop w:val="0"/>
      <w:marBottom w:val="0"/>
      <w:divBdr>
        <w:top w:val="none" w:sz="0" w:space="0" w:color="auto"/>
        <w:left w:val="none" w:sz="0" w:space="0" w:color="auto"/>
        <w:bottom w:val="none" w:sz="0" w:space="0" w:color="auto"/>
        <w:right w:val="none" w:sz="0" w:space="0" w:color="auto"/>
      </w:divBdr>
      <w:divsChild>
        <w:div w:id="1431311908">
          <w:marLeft w:val="0"/>
          <w:marRight w:val="0"/>
          <w:marTop w:val="0"/>
          <w:marBottom w:val="0"/>
          <w:divBdr>
            <w:top w:val="none" w:sz="0" w:space="0" w:color="auto"/>
            <w:left w:val="none" w:sz="0" w:space="0" w:color="auto"/>
            <w:bottom w:val="none" w:sz="0" w:space="0" w:color="auto"/>
            <w:right w:val="none" w:sz="0" w:space="0" w:color="auto"/>
          </w:divBdr>
          <w:divsChild>
            <w:div w:id="866872500">
              <w:marLeft w:val="0"/>
              <w:marRight w:val="0"/>
              <w:marTop w:val="0"/>
              <w:marBottom w:val="0"/>
              <w:divBdr>
                <w:top w:val="none" w:sz="0" w:space="0" w:color="auto"/>
                <w:left w:val="none" w:sz="0" w:space="0" w:color="auto"/>
                <w:bottom w:val="none" w:sz="0" w:space="0" w:color="auto"/>
                <w:right w:val="none" w:sz="0" w:space="0" w:color="auto"/>
              </w:divBdr>
              <w:divsChild>
                <w:div w:id="912738951">
                  <w:marLeft w:val="0"/>
                  <w:marRight w:val="0"/>
                  <w:marTop w:val="0"/>
                  <w:marBottom w:val="0"/>
                  <w:divBdr>
                    <w:top w:val="none" w:sz="0" w:space="0" w:color="auto"/>
                    <w:left w:val="none" w:sz="0" w:space="0" w:color="auto"/>
                    <w:bottom w:val="none" w:sz="0" w:space="0" w:color="auto"/>
                    <w:right w:val="none" w:sz="0" w:space="0" w:color="auto"/>
                  </w:divBdr>
                  <w:divsChild>
                    <w:div w:id="116071404">
                      <w:marLeft w:val="0"/>
                      <w:marRight w:val="0"/>
                      <w:marTop w:val="0"/>
                      <w:marBottom w:val="0"/>
                      <w:divBdr>
                        <w:top w:val="none" w:sz="0" w:space="0" w:color="auto"/>
                        <w:left w:val="none" w:sz="0" w:space="0" w:color="auto"/>
                        <w:bottom w:val="none" w:sz="0" w:space="0" w:color="auto"/>
                        <w:right w:val="none" w:sz="0" w:space="0" w:color="auto"/>
                      </w:divBdr>
                      <w:divsChild>
                        <w:div w:id="350299659">
                          <w:marLeft w:val="0"/>
                          <w:marRight w:val="0"/>
                          <w:marTop w:val="0"/>
                          <w:marBottom w:val="0"/>
                          <w:divBdr>
                            <w:top w:val="none" w:sz="0" w:space="0" w:color="auto"/>
                            <w:left w:val="none" w:sz="0" w:space="0" w:color="auto"/>
                            <w:bottom w:val="none" w:sz="0" w:space="0" w:color="auto"/>
                            <w:right w:val="none" w:sz="0" w:space="0" w:color="auto"/>
                          </w:divBdr>
                          <w:divsChild>
                            <w:div w:id="631441299">
                              <w:marLeft w:val="0"/>
                              <w:marRight w:val="0"/>
                              <w:marTop w:val="0"/>
                              <w:marBottom w:val="0"/>
                              <w:divBdr>
                                <w:top w:val="none" w:sz="0" w:space="0" w:color="auto"/>
                                <w:left w:val="none" w:sz="0" w:space="0" w:color="auto"/>
                                <w:bottom w:val="none" w:sz="0" w:space="0" w:color="auto"/>
                                <w:right w:val="none" w:sz="0" w:space="0" w:color="auto"/>
                              </w:divBdr>
                              <w:divsChild>
                                <w:div w:id="1162234276">
                                  <w:marLeft w:val="0"/>
                                  <w:marRight w:val="0"/>
                                  <w:marTop w:val="0"/>
                                  <w:marBottom w:val="0"/>
                                  <w:divBdr>
                                    <w:top w:val="none" w:sz="0" w:space="0" w:color="auto"/>
                                    <w:left w:val="none" w:sz="0" w:space="0" w:color="auto"/>
                                    <w:bottom w:val="none" w:sz="0" w:space="0" w:color="auto"/>
                                    <w:right w:val="none" w:sz="0" w:space="0" w:color="auto"/>
                                  </w:divBdr>
                                  <w:divsChild>
                                    <w:div w:id="676424907">
                                      <w:marLeft w:val="0"/>
                                      <w:marRight w:val="0"/>
                                      <w:marTop w:val="0"/>
                                      <w:marBottom w:val="0"/>
                                      <w:divBdr>
                                        <w:top w:val="none" w:sz="0" w:space="0" w:color="auto"/>
                                        <w:left w:val="none" w:sz="0" w:space="0" w:color="auto"/>
                                        <w:bottom w:val="none" w:sz="0" w:space="0" w:color="auto"/>
                                        <w:right w:val="none" w:sz="0" w:space="0" w:color="auto"/>
                                      </w:divBdr>
                                      <w:divsChild>
                                        <w:div w:id="1914005155">
                                          <w:marLeft w:val="0"/>
                                          <w:marRight w:val="0"/>
                                          <w:marTop w:val="0"/>
                                          <w:marBottom w:val="0"/>
                                          <w:divBdr>
                                            <w:top w:val="none" w:sz="0" w:space="0" w:color="auto"/>
                                            <w:left w:val="none" w:sz="0" w:space="0" w:color="auto"/>
                                            <w:bottom w:val="none" w:sz="0" w:space="0" w:color="auto"/>
                                            <w:right w:val="none" w:sz="0" w:space="0" w:color="auto"/>
                                          </w:divBdr>
                                          <w:divsChild>
                                            <w:div w:id="643001191">
                                              <w:marLeft w:val="0"/>
                                              <w:marRight w:val="0"/>
                                              <w:marTop w:val="0"/>
                                              <w:marBottom w:val="0"/>
                                              <w:divBdr>
                                                <w:top w:val="none" w:sz="0" w:space="0" w:color="auto"/>
                                                <w:left w:val="none" w:sz="0" w:space="0" w:color="auto"/>
                                                <w:bottom w:val="none" w:sz="0" w:space="0" w:color="auto"/>
                                                <w:right w:val="none" w:sz="0" w:space="0" w:color="auto"/>
                                              </w:divBdr>
                                              <w:divsChild>
                                                <w:div w:id="1102648296">
                                                  <w:marLeft w:val="0"/>
                                                  <w:marRight w:val="0"/>
                                                  <w:marTop w:val="0"/>
                                                  <w:marBottom w:val="0"/>
                                                  <w:divBdr>
                                                    <w:top w:val="none" w:sz="0" w:space="0" w:color="auto"/>
                                                    <w:left w:val="none" w:sz="0" w:space="0" w:color="auto"/>
                                                    <w:bottom w:val="none" w:sz="0" w:space="0" w:color="auto"/>
                                                    <w:right w:val="none" w:sz="0" w:space="0" w:color="auto"/>
                                                  </w:divBdr>
                                                  <w:divsChild>
                                                    <w:div w:id="1572278592">
                                                      <w:marLeft w:val="0"/>
                                                      <w:marRight w:val="0"/>
                                                      <w:marTop w:val="0"/>
                                                      <w:marBottom w:val="0"/>
                                                      <w:divBdr>
                                                        <w:top w:val="none" w:sz="0" w:space="0" w:color="auto"/>
                                                        <w:left w:val="none" w:sz="0" w:space="0" w:color="auto"/>
                                                        <w:bottom w:val="none" w:sz="0" w:space="0" w:color="auto"/>
                                                        <w:right w:val="none" w:sz="0" w:space="0" w:color="auto"/>
                                                      </w:divBdr>
                                                      <w:divsChild>
                                                        <w:div w:id="1386640499">
                                                          <w:marLeft w:val="0"/>
                                                          <w:marRight w:val="0"/>
                                                          <w:marTop w:val="0"/>
                                                          <w:marBottom w:val="0"/>
                                                          <w:divBdr>
                                                            <w:top w:val="none" w:sz="0" w:space="0" w:color="auto"/>
                                                            <w:left w:val="none" w:sz="0" w:space="0" w:color="auto"/>
                                                            <w:bottom w:val="none" w:sz="0" w:space="0" w:color="auto"/>
                                                            <w:right w:val="none" w:sz="0" w:space="0" w:color="auto"/>
                                                          </w:divBdr>
                                                          <w:divsChild>
                                                            <w:div w:id="1469325671">
                                                              <w:marLeft w:val="0"/>
                                                              <w:marRight w:val="0"/>
                                                              <w:marTop w:val="0"/>
                                                              <w:marBottom w:val="0"/>
                                                              <w:divBdr>
                                                                <w:top w:val="none" w:sz="0" w:space="0" w:color="auto"/>
                                                                <w:left w:val="none" w:sz="0" w:space="0" w:color="auto"/>
                                                                <w:bottom w:val="none" w:sz="0" w:space="0" w:color="auto"/>
                                                                <w:right w:val="none" w:sz="0" w:space="0" w:color="auto"/>
                                                              </w:divBdr>
                                                            </w:div>
                                                            <w:div w:id="196621992">
                                                              <w:marLeft w:val="0"/>
                                                              <w:marRight w:val="0"/>
                                                              <w:marTop w:val="0"/>
                                                              <w:marBottom w:val="0"/>
                                                              <w:divBdr>
                                                                <w:top w:val="none" w:sz="0" w:space="0" w:color="auto"/>
                                                                <w:left w:val="none" w:sz="0" w:space="0" w:color="auto"/>
                                                                <w:bottom w:val="none" w:sz="0" w:space="0" w:color="auto"/>
                                                                <w:right w:val="none" w:sz="0" w:space="0" w:color="auto"/>
                                                              </w:divBdr>
                                                            </w:div>
                                                            <w:div w:id="1899706374">
                                                              <w:marLeft w:val="0"/>
                                                              <w:marRight w:val="0"/>
                                                              <w:marTop w:val="0"/>
                                                              <w:marBottom w:val="0"/>
                                                              <w:divBdr>
                                                                <w:top w:val="none" w:sz="0" w:space="0" w:color="auto"/>
                                                                <w:left w:val="none" w:sz="0" w:space="0" w:color="auto"/>
                                                                <w:bottom w:val="none" w:sz="0" w:space="0" w:color="auto"/>
                                                                <w:right w:val="none" w:sz="0" w:space="0" w:color="auto"/>
                                                              </w:divBdr>
                                                            </w:div>
                                                          </w:divsChild>
                                                        </w:div>
                                                        <w:div w:id="103813773">
                                                          <w:marLeft w:val="0"/>
                                                          <w:marRight w:val="0"/>
                                                          <w:marTop w:val="0"/>
                                                          <w:marBottom w:val="0"/>
                                                          <w:divBdr>
                                                            <w:top w:val="none" w:sz="0" w:space="0" w:color="auto"/>
                                                            <w:left w:val="none" w:sz="0" w:space="0" w:color="auto"/>
                                                            <w:bottom w:val="none" w:sz="0" w:space="0" w:color="auto"/>
                                                            <w:right w:val="none" w:sz="0" w:space="0" w:color="auto"/>
                                                          </w:divBdr>
                                                        </w:div>
                                                        <w:div w:id="9126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579782">
      <w:bodyDiv w:val="1"/>
      <w:marLeft w:val="0"/>
      <w:marRight w:val="0"/>
      <w:marTop w:val="0"/>
      <w:marBottom w:val="0"/>
      <w:divBdr>
        <w:top w:val="none" w:sz="0" w:space="0" w:color="auto"/>
        <w:left w:val="none" w:sz="0" w:space="0" w:color="auto"/>
        <w:bottom w:val="none" w:sz="0" w:space="0" w:color="auto"/>
        <w:right w:val="none" w:sz="0" w:space="0" w:color="auto"/>
      </w:divBdr>
      <w:divsChild>
        <w:div w:id="720785994">
          <w:marLeft w:val="0"/>
          <w:marRight w:val="0"/>
          <w:marTop w:val="0"/>
          <w:marBottom w:val="0"/>
          <w:divBdr>
            <w:top w:val="none" w:sz="0" w:space="0" w:color="auto"/>
            <w:left w:val="none" w:sz="0" w:space="0" w:color="auto"/>
            <w:bottom w:val="none" w:sz="0" w:space="0" w:color="auto"/>
            <w:right w:val="none" w:sz="0" w:space="0" w:color="auto"/>
          </w:divBdr>
          <w:divsChild>
            <w:div w:id="104471248">
              <w:marLeft w:val="0"/>
              <w:marRight w:val="0"/>
              <w:marTop w:val="0"/>
              <w:marBottom w:val="0"/>
              <w:divBdr>
                <w:top w:val="none" w:sz="0" w:space="0" w:color="auto"/>
                <w:left w:val="none" w:sz="0" w:space="0" w:color="auto"/>
                <w:bottom w:val="none" w:sz="0" w:space="0" w:color="auto"/>
                <w:right w:val="none" w:sz="0" w:space="0" w:color="auto"/>
              </w:divBdr>
              <w:divsChild>
                <w:div w:id="1185173636">
                  <w:marLeft w:val="0"/>
                  <w:marRight w:val="0"/>
                  <w:marTop w:val="0"/>
                  <w:marBottom w:val="0"/>
                  <w:divBdr>
                    <w:top w:val="none" w:sz="0" w:space="0" w:color="auto"/>
                    <w:left w:val="none" w:sz="0" w:space="0" w:color="auto"/>
                    <w:bottom w:val="none" w:sz="0" w:space="0" w:color="auto"/>
                    <w:right w:val="none" w:sz="0" w:space="0" w:color="auto"/>
                  </w:divBdr>
                  <w:divsChild>
                    <w:div w:id="2070641814">
                      <w:marLeft w:val="0"/>
                      <w:marRight w:val="0"/>
                      <w:marTop w:val="0"/>
                      <w:marBottom w:val="0"/>
                      <w:divBdr>
                        <w:top w:val="none" w:sz="0" w:space="0" w:color="auto"/>
                        <w:left w:val="none" w:sz="0" w:space="0" w:color="auto"/>
                        <w:bottom w:val="none" w:sz="0" w:space="0" w:color="auto"/>
                        <w:right w:val="none" w:sz="0" w:space="0" w:color="auto"/>
                      </w:divBdr>
                      <w:divsChild>
                        <w:div w:id="1722050023">
                          <w:marLeft w:val="0"/>
                          <w:marRight w:val="0"/>
                          <w:marTop w:val="0"/>
                          <w:marBottom w:val="0"/>
                          <w:divBdr>
                            <w:top w:val="none" w:sz="0" w:space="0" w:color="auto"/>
                            <w:left w:val="none" w:sz="0" w:space="0" w:color="auto"/>
                            <w:bottom w:val="none" w:sz="0" w:space="0" w:color="auto"/>
                            <w:right w:val="none" w:sz="0" w:space="0" w:color="auto"/>
                          </w:divBdr>
                          <w:divsChild>
                            <w:div w:id="12119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654843">
      <w:bodyDiv w:val="1"/>
      <w:marLeft w:val="0"/>
      <w:marRight w:val="0"/>
      <w:marTop w:val="0"/>
      <w:marBottom w:val="0"/>
      <w:divBdr>
        <w:top w:val="none" w:sz="0" w:space="0" w:color="auto"/>
        <w:left w:val="none" w:sz="0" w:space="0" w:color="auto"/>
        <w:bottom w:val="none" w:sz="0" w:space="0" w:color="auto"/>
        <w:right w:val="none" w:sz="0" w:space="0" w:color="auto"/>
      </w:divBdr>
      <w:divsChild>
        <w:div w:id="108091127">
          <w:marLeft w:val="0"/>
          <w:marRight w:val="0"/>
          <w:marTop w:val="0"/>
          <w:marBottom w:val="0"/>
          <w:divBdr>
            <w:top w:val="none" w:sz="0" w:space="0" w:color="auto"/>
            <w:left w:val="none" w:sz="0" w:space="0" w:color="auto"/>
            <w:bottom w:val="none" w:sz="0" w:space="0" w:color="auto"/>
            <w:right w:val="none" w:sz="0" w:space="0" w:color="auto"/>
          </w:divBdr>
          <w:divsChild>
            <w:div w:id="610211208">
              <w:marLeft w:val="0"/>
              <w:marRight w:val="0"/>
              <w:marTop w:val="0"/>
              <w:marBottom w:val="0"/>
              <w:divBdr>
                <w:top w:val="none" w:sz="0" w:space="0" w:color="auto"/>
                <w:left w:val="none" w:sz="0" w:space="0" w:color="auto"/>
                <w:bottom w:val="none" w:sz="0" w:space="0" w:color="auto"/>
                <w:right w:val="none" w:sz="0" w:space="0" w:color="auto"/>
              </w:divBdr>
              <w:divsChild>
                <w:div w:id="1506163156">
                  <w:marLeft w:val="0"/>
                  <w:marRight w:val="0"/>
                  <w:marTop w:val="0"/>
                  <w:marBottom w:val="0"/>
                  <w:divBdr>
                    <w:top w:val="none" w:sz="0" w:space="0" w:color="auto"/>
                    <w:left w:val="none" w:sz="0" w:space="0" w:color="auto"/>
                    <w:bottom w:val="none" w:sz="0" w:space="0" w:color="auto"/>
                    <w:right w:val="none" w:sz="0" w:space="0" w:color="auto"/>
                  </w:divBdr>
                  <w:divsChild>
                    <w:div w:id="1041635238">
                      <w:marLeft w:val="0"/>
                      <w:marRight w:val="0"/>
                      <w:marTop w:val="0"/>
                      <w:marBottom w:val="0"/>
                      <w:divBdr>
                        <w:top w:val="none" w:sz="0" w:space="0" w:color="auto"/>
                        <w:left w:val="none" w:sz="0" w:space="0" w:color="auto"/>
                        <w:bottom w:val="none" w:sz="0" w:space="0" w:color="auto"/>
                        <w:right w:val="none" w:sz="0" w:space="0" w:color="auto"/>
                      </w:divBdr>
                      <w:divsChild>
                        <w:div w:id="1623657981">
                          <w:marLeft w:val="0"/>
                          <w:marRight w:val="0"/>
                          <w:marTop w:val="0"/>
                          <w:marBottom w:val="0"/>
                          <w:divBdr>
                            <w:top w:val="none" w:sz="0" w:space="0" w:color="auto"/>
                            <w:left w:val="none" w:sz="0" w:space="0" w:color="auto"/>
                            <w:bottom w:val="none" w:sz="0" w:space="0" w:color="auto"/>
                            <w:right w:val="none" w:sz="0" w:space="0" w:color="auto"/>
                          </w:divBdr>
                          <w:divsChild>
                            <w:div w:id="17647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390128">
      <w:bodyDiv w:val="1"/>
      <w:marLeft w:val="0"/>
      <w:marRight w:val="0"/>
      <w:marTop w:val="0"/>
      <w:marBottom w:val="0"/>
      <w:divBdr>
        <w:top w:val="none" w:sz="0" w:space="0" w:color="auto"/>
        <w:left w:val="none" w:sz="0" w:space="0" w:color="auto"/>
        <w:bottom w:val="none" w:sz="0" w:space="0" w:color="auto"/>
        <w:right w:val="none" w:sz="0" w:space="0" w:color="auto"/>
      </w:divBdr>
      <w:divsChild>
        <w:div w:id="637609486">
          <w:marLeft w:val="0"/>
          <w:marRight w:val="0"/>
          <w:marTop w:val="0"/>
          <w:marBottom w:val="0"/>
          <w:divBdr>
            <w:top w:val="none" w:sz="0" w:space="0" w:color="auto"/>
            <w:left w:val="none" w:sz="0" w:space="0" w:color="auto"/>
            <w:bottom w:val="none" w:sz="0" w:space="0" w:color="auto"/>
            <w:right w:val="none" w:sz="0" w:space="0" w:color="auto"/>
          </w:divBdr>
          <w:divsChild>
            <w:div w:id="1242836252">
              <w:marLeft w:val="0"/>
              <w:marRight w:val="0"/>
              <w:marTop w:val="0"/>
              <w:marBottom w:val="0"/>
              <w:divBdr>
                <w:top w:val="none" w:sz="0" w:space="0" w:color="auto"/>
                <w:left w:val="none" w:sz="0" w:space="0" w:color="auto"/>
                <w:bottom w:val="none" w:sz="0" w:space="0" w:color="auto"/>
                <w:right w:val="none" w:sz="0" w:space="0" w:color="auto"/>
              </w:divBdr>
              <w:divsChild>
                <w:div w:id="1893811927">
                  <w:marLeft w:val="0"/>
                  <w:marRight w:val="0"/>
                  <w:marTop w:val="0"/>
                  <w:marBottom w:val="0"/>
                  <w:divBdr>
                    <w:top w:val="none" w:sz="0" w:space="0" w:color="auto"/>
                    <w:left w:val="none" w:sz="0" w:space="0" w:color="auto"/>
                    <w:bottom w:val="none" w:sz="0" w:space="0" w:color="auto"/>
                    <w:right w:val="none" w:sz="0" w:space="0" w:color="auto"/>
                  </w:divBdr>
                  <w:divsChild>
                    <w:div w:id="2065564558">
                      <w:marLeft w:val="0"/>
                      <w:marRight w:val="0"/>
                      <w:marTop w:val="0"/>
                      <w:marBottom w:val="0"/>
                      <w:divBdr>
                        <w:top w:val="none" w:sz="0" w:space="0" w:color="auto"/>
                        <w:left w:val="none" w:sz="0" w:space="0" w:color="auto"/>
                        <w:bottom w:val="none" w:sz="0" w:space="0" w:color="auto"/>
                        <w:right w:val="none" w:sz="0" w:space="0" w:color="auto"/>
                      </w:divBdr>
                      <w:divsChild>
                        <w:div w:id="308292664">
                          <w:marLeft w:val="0"/>
                          <w:marRight w:val="0"/>
                          <w:marTop w:val="0"/>
                          <w:marBottom w:val="0"/>
                          <w:divBdr>
                            <w:top w:val="none" w:sz="0" w:space="0" w:color="auto"/>
                            <w:left w:val="none" w:sz="0" w:space="0" w:color="auto"/>
                            <w:bottom w:val="none" w:sz="0" w:space="0" w:color="auto"/>
                            <w:right w:val="none" w:sz="0" w:space="0" w:color="auto"/>
                          </w:divBdr>
                          <w:divsChild>
                            <w:div w:id="544104211">
                              <w:marLeft w:val="0"/>
                              <w:marRight w:val="0"/>
                              <w:marTop w:val="0"/>
                              <w:marBottom w:val="0"/>
                              <w:divBdr>
                                <w:top w:val="none" w:sz="0" w:space="0" w:color="auto"/>
                                <w:left w:val="none" w:sz="0" w:space="0" w:color="auto"/>
                                <w:bottom w:val="none" w:sz="0" w:space="0" w:color="auto"/>
                                <w:right w:val="none" w:sz="0" w:space="0" w:color="auto"/>
                              </w:divBdr>
                              <w:divsChild>
                                <w:div w:id="1896551900">
                                  <w:marLeft w:val="0"/>
                                  <w:marRight w:val="0"/>
                                  <w:marTop w:val="0"/>
                                  <w:marBottom w:val="0"/>
                                  <w:divBdr>
                                    <w:top w:val="none" w:sz="0" w:space="0" w:color="auto"/>
                                    <w:left w:val="none" w:sz="0" w:space="0" w:color="auto"/>
                                    <w:bottom w:val="none" w:sz="0" w:space="0" w:color="auto"/>
                                    <w:right w:val="none" w:sz="0" w:space="0" w:color="auto"/>
                                  </w:divBdr>
                                  <w:divsChild>
                                    <w:div w:id="734426924">
                                      <w:marLeft w:val="0"/>
                                      <w:marRight w:val="0"/>
                                      <w:marTop w:val="0"/>
                                      <w:marBottom w:val="0"/>
                                      <w:divBdr>
                                        <w:top w:val="none" w:sz="0" w:space="0" w:color="auto"/>
                                        <w:left w:val="none" w:sz="0" w:space="0" w:color="auto"/>
                                        <w:bottom w:val="none" w:sz="0" w:space="0" w:color="auto"/>
                                        <w:right w:val="none" w:sz="0" w:space="0" w:color="auto"/>
                                      </w:divBdr>
                                      <w:divsChild>
                                        <w:div w:id="1112549006">
                                          <w:marLeft w:val="0"/>
                                          <w:marRight w:val="0"/>
                                          <w:marTop w:val="0"/>
                                          <w:marBottom w:val="0"/>
                                          <w:divBdr>
                                            <w:top w:val="none" w:sz="0" w:space="0" w:color="auto"/>
                                            <w:left w:val="none" w:sz="0" w:space="0" w:color="auto"/>
                                            <w:bottom w:val="none" w:sz="0" w:space="0" w:color="auto"/>
                                            <w:right w:val="none" w:sz="0" w:space="0" w:color="auto"/>
                                          </w:divBdr>
                                          <w:divsChild>
                                            <w:div w:id="868907555">
                                              <w:marLeft w:val="0"/>
                                              <w:marRight w:val="0"/>
                                              <w:marTop w:val="0"/>
                                              <w:marBottom w:val="0"/>
                                              <w:divBdr>
                                                <w:top w:val="none" w:sz="0" w:space="0" w:color="auto"/>
                                                <w:left w:val="none" w:sz="0" w:space="0" w:color="auto"/>
                                                <w:bottom w:val="none" w:sz="0" w:space="0" w:color="auto"/>
                                                <w:right w:val="none" w:sz="0" w:space="0" w:color="auto"/>
                                              </w:divBdr>
                                              <w:divsChild>
                                                <w:div w:id="129713882">
                                                  <w:marLeft w:val="0"/>
                                                  <w:marRight w:val="0"/>
                                                  <w:marTop w:val="0"/>
                                                  <w:marBottom w:val="0"/>
                                                  <w:divBdr>
                                                    <w:top w:val="none" w:sz="0" w:space="0" w:color="auto"/>
                                                    <w:left w:val="none" w:sz="0" w:space="0" w:color="auto"/>
                                                    <w:bottom w:val="none" w:sz="0" w:space="0" w:color="auto"/>
                                                    <w:right w:val="none" w:sz="0" w:space="0" w:color="auto"/>
                                                  </w:divBdr>
                                                  <w:divsChild>
                                                    <w:div w:id="1777169012">
                                                      <w:marLeft w:val="0"/>
                                                      <w:marRight w:val="0"/>
                                                      <w:marTop w:val="0"/>
                                                      <w:marBottom w:val="0"/>
                                                      <w:divBdr>
                                                        <w:top w:val="none" w:sz="0" w:space="0" w:color="auto"/>
                                                        <w:left w:val="none" w:sz="0" w:space="0" w:color="auto"/>
                                                        <w:bottom w:val="none" w:sz="0" w:space="0" w:color="auto"/>
                                                        <w:right w:val="none" w:sz="0" w:space="0" w:color="auto"/>
                                                      </w:divBdr>
                                                      <w:divsChild>
                                                        <w:div w:id="1516458086">
                                                          <w:marLeft w:val="0"/>
                                                          <w:marRight w:val="0"/>
                                                          <w:marTop w:val="0"/>
                                                          <w:marBottom w:val="0"/>
                                                          <w:divBdr>
                                                            <w:top w:val="none" w:sz="0" w:space="0" w:color="auto"/>
                                                            <w:left w:val="none" w:sz="0" w:space="0" w:color="auto"/>
                                                            <w:bottom w:val="none" w:sz="0" w:space="0" w:color="auto"/>
                                                            <w:right w:val="none" w:sz="0" w:space="0" w:color="auto"/>
                                                          </w:divBdr>
                                                          <w:divsChild>
                                                            <w:div w:id="1102797411">
                                                              <w:marLeft w:val="0"/>
                                                              <w:marRight w:val="0"/>
                                                              <w:marTop w:val="0"/>
                                                              <w:marBottom w:val="0"/>
                                                              <w:divBdr>
                                                                <w:top w:val="none" w:sz="0" w:space="0" w:color="auto"/>
                                                                <w:left w:val="none" w:sz="0" w:space="0" w:color="auto"/>
                                                                <w:bottom w:val="none" w:sz="0" w:space="0" w:color="auto"/>
                                                                <w:right w:val="none" w:sz="0" w:space="0" w:color="auto"/>
                                                              </w:divBdr>
                                                            </w:div>
                                                            <w:div w:id="1010255681">
                                                              <w:marLeft w:val="0"/>
                                                              <w:marRight w:val="0"/>
                                                              <w:marTop w:val="0"/>
                                                              <w:marBottom w:val="0"/>
                                                              <w:divBdr>
                                                                <w:top w:val="none" w:sz="0" w:space="0" w:color="auto"/>
                                                                <w:left w:val="none" w:sz="0" w:space="0" w:color="auto"/>
                                                                <w:bottom w:val="none" w:sz="0" w:space="0" w:color="auto"/>
                                                                <w:right w:val="none" w:sz="0" w:space="0" w:color="auto"/>
                                                              </w:divBdr>
                                                            </w:div>
                                                            <w:div w:id="551582014">
                                                              <w:marLeft w:val="0"/>
                                                              <w:marRight w:val="0"/>
                                                              <w:marTop w:val="0"/>
                                                              <w:marBottom w:val="0"/>
                                                              <w:divBdr>
                                                                <w:top w:val="none" w:sz="0" w:space="0" w:color="auto"/>
                                                                <w:left w:val="none" w:sz="0" w:space="0" w:color="auto"/>
                                                                <w:bottom w:val="none" w:sz="0" w:space="0" w:color="auto"/>
                                                                <w:right w:val="none" w:sz="0" w:space="0" w:color="auto"/>
                                                              </w:divBdr>
                                                            </w:div>
                                                            <w:div w:id="1492017824">
                                                              <w:marLeft w:val="0"/>
                                                              <w:marRight w:val="0"/>
                                                              <w:marTop w:val="0"/>
                                                              <w:marBottom w:val="0"/>
                                                              <w:divBdr>
                                                                <w:top w:val="none" w:sz="0" w:space="0" w:color="auto"/>
                                                                <w:left w:val="none" w:sz="0" w:space="0" w:color="auto"/>
                                                                <w:bottom w:val="none" w:sz="0" w:space="0" w:color="auto"/>
                                                                <w:right w:val="none" w:sz="0" w:space="0" w:color="auto"/>
                                                              </w:divBdr>
                                                            </w:div>
                                                            <w:div w:id="10086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284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FE405-C6BB-4C20-9A93-57354E5F8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90C6F0D-6CE0-47DA-8EE6-3B16662717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011E24-DA67-4F87-B284-B9BD8D19AEDC}">
  <ds:schemaRefs>
    <ds:schemaRef ds:uri="http://schemas.microsoft.com/sharepoint/v3/contenttype/forms"/>
  </ds:schemaRefs>
</ds:datastoreItem>
</file>

<file path=customXml/itemProps4.xml><?xml version="1.0" encoding="utf-8"?>
<ds:datastoreItem xmlns:ds="http://schemas.openxmlformats.org/officeDocument/2006/customXml" ds:itemID="{45273358-7FC1-9344-9CAC-85BE6723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12971</Words>
  <Characters>77832</Characters>
  <Application>Microsoft Office Word</Application>
  <DocSecurity>0</DocSecurity>
  <Lines>648</Lines>
  <Paragraphs>181</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90622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2018-09-20T08:33:00Z</dcterms:created>
  <dcterms:modified xsi:type="dcterms:W3CDTF">2018-09-20T08:33:00Z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30491/17</vt:lpwstr>
  </property>
  <property fmtid="{D5CDD505-2E9C-101B-9397-08002B2CF9AE}" pid="4" name="CASEID">
    <vt:lpwstr>1303747</vt:lpwstr>
  </property>
  <property fmtid="{D5CDD505-2E9C-101B-9397-08002B2CF9AE}" pid="5" name="ContentTypeId">
    <vt:lpwstr>0x010100558EB02BDB9E204AB350EDD385B68E10</vt:lpwstr>
  </property>
</Properties>
</file>