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C775E" w14:textId="77777777" w:rsidR="001C7EED" w:rsidRPr="00103DFD" w:rsidRDefault="001C7EED" w:rsidP="001C7EED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103DFD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>Odpowiedź na zapytanie nr 1333</w:t>
      </w:r>
    </w:p>
    <w:p w14:paraId="7EDC0E49" w14:textId="77777777" w:rsidR="001C7EED" w:rsidRPr="00103DFD" w:rsidRDefault="001C7EED" w:rsidP="001C7EED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103DFD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w sprawie powstającego w Toruniu Muzeum Pamięć i Tożsamość im. św. Jana Pawła II</w:t>
      </w:r>
    </w:p>
    <w:p w14:paraId="5B1D0F1D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Odpowiadający: minister kultury, dziedzictwa narodowego i sportu Piotr Gliński</w:t>
      </w:r>
    </w:p>
    <w:p w14:paraId="04D9AA79" w14:textId="77777777" w:rsidR="001C7EED" w:rsidRPr="00103DFD" w:rsidRDefault="001C7EED" w:rsidP="001C7EED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Warszawa, 01-12-2020</w:t>
      </w:r>
    </w:p>
    <w:p w14:paraId="2D6D9CC1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Szanowna Pani Marszałek,</w:t>
      </w:r>
    </w:p>
    <w:p w14:paraId="612365D0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odpowiadając na zapytanie nr 1333 państwa posłów Roberta Kwiatkowskiego, Anity </w:t>
      </w:r>
      <w:proofErr w:type="spellStart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Kucharskiej-Dziedzic</w:t>
      </w:r>
      <w:proofErr w:type="spellEnd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, Karoliny </w:t>
      </w:r>
      <w:proofErr w:type="spellStart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Pawliczak</w:t>
      </w:r>
      <w:proofErr w:type="spellEnd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, Moniki </w:t>
      </w:r>
      <w:proofErr w:type="spellStart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Falej</w:t>
      </w:r>
      <w:proofErr w:type="spellEnd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, Hanny </w:t>
      </w:r>
      <w:proofErr w:type="spellStart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Gill</w:t>
      </w:r>
      <w:proofErr w:type="spellEnd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-Piątek, Krzysztofa </w:t>
      </w:r>
      <w:proofErr w:type="spellStart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Gawkowskiego</w:t>
      </w:r>
      <w:proofErr w:type="spellEnd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Andrzeja Szejny, Macieja Kopca, Marcina Kulaska, Małgorzaty Sekuły-Szmajdzińskiej, Wiesława Szczepańskiego, Beaty Maciejewskiej, Tadeusza Tomaszewskiego, Jana Szopińskiego, Katarzyny Kretkowskiej z 3 września 2020 roku w sprawie powstającego w Toruniu Muzeum Pamięć i Tożsamość im. św. Jana Pawła II, uprzejmie proszę o przyjęcie następujących wyjaśnień.</w:t>
      </w:r>
    </w:p>
    <w:p w14:paraId="2605C444" w14:textId="77777777" w:rsidR="001C7EED" w:rsidRPr="00103DFD" w:rsidRDefault="001C7EED" w:rsidP="001C7E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Ad 1.</w:t>
      </w:r>
    </w:p>
    <w:p w14:paraId="4647272A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Ministerstwo Kultury i Dziedzictwa Narodowego nie posiada wiedzy w tym zakresie, inwestycje rozliczane przez Ministerstwo nie obejmowały Parku Pamięci. Ministerstwo nie posiada wiedzy, z jakich środków sfinansowano to przedsięwzięcie.</w:t>
      </w:r>
    </w:p>
    <w:p w14:paraId="32B65485" w14:textId="77777777" w:rsidR="001C7EED" w:rsidRPr="00103DFD" w:rsidRDefault="001C7EED" w:rsidP="001C7E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Ad 2.</w:t>
      </w:r>
    </w:p>
    <w:p w14:paraId="17D53920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W dniu 20 czerwca 2018 r. została zawarta pomiędzy Fundacją LUX </w:t>
      </w:r>
      <w:proofErr w:type="spellStart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Veritatis</w:t>
      </w:r>
      <w:proofErr w:type="spellEnd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a Ministrem Kultury i Dziedzictwa Narodowego umowa o utworzeniu instytucji kultury pod nazwą Muzeum „Pamięć i Tożsamość” im. św. Jana Pawła II (w organizacji). Na podstawie ww. umowy z dnia 20 czerwca 2018 r. Ministerstwo Kultury i Dziedzictwa Narodowego dla Muzeum „Pamięć i Tożsamość” zobowiązało się przeznaczyć na realizację inwestycji pn.: „Budowa siedziby stałej Muzeum „Pamięć i Tożsamość” im. św. Jana Pawła II w Toruniu” w latach 2018-2020 70 mln zł, z tego:</w:t>
      </w:r>
    </w:p>
    <w:p w14:paraId="69FD4D0D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• 5.000 tys. zł na rok 2018,</w:t>
      </w:r>
    </w:p>
    <w:p w14:paraId="3581D00D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• 55.000 tys. zł na rok 2019,</w:t>
      </w:r>
    </w:p>
    <w:p w14:paraId="501764E1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• 10.000 tys. zł na rok 2020.</w:t>
      </w:r>
    </w:p>
    <w:p w14:paraId="2C85E3A1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W związku z przedłużającym się postępowaniem przetargowym na wybór wykonawcy robót budowlanych wykorzystanie dotacji w 2018 r. nie było możliwe.</w:t>
      </w:r>
    </w:p>
    <w:p w14:paraId="277A73CD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Zgodnie z gwarancją z dnia 18 lutego 2019 r. Ministra Kultury i Dziedzictwa Narodowego została podjęta decyzja o przyznaniu dotacji celowej w latach 2019-2021 na realizację inwestycji pn.: „Budowa siedziby stałej Muzeum „Pamięć i Tożsamość” im. św. Jana Pawła II w Toruniu” w wyższej wysokości 117.700 tys. zł (koszt inwestycji netto), w tym:</w:t>
      </w:r>
    </w:p>
    <w:p w14:paraId="1FB950EC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• 38.540 tys. zł na rok 2019,</w:t>
      </w:r>
    </w:p>
    <w:p w14:paraId="23623239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• 64.432 tys. zł na rok 2020,</w:t>
      </w:r>
    </w:p>
    <w:p w14:paraId="092D68F0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• 14.728 tys. zł na rok 2021.</w:t>
      </w:r>
    </w:p>
    <w:p w14:paraId="2E1F6374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Przyjęcie rozwiązania realizacji budowy siedziby Muzeum „Pamięć i Tożsamość” w Toruniu polegającego na zwiększeniu dotacji celowej na lata 2020-2021 o kwotę 47.700 tys. zł było uzasadnione koniecznością zabezpieczenia większych środków w wysokości wynikającej z przeprowadzonego postępowania przetargowego, w którym wpłynęła jedna oferta przekraczająca kwotę, jaką zamawiający (Muzeum) zamierzał przeznaczyć na realizację zamówienia. Powyższa inwestycja jest jedną z priorytetowych inwestycji w zakresie kultury i ochrony dziedzictwa narodowego. Tym samym było konieczne niezwłoczne przygotowanie wszelkiej dokumentacji i procedur oraz realizacja robót budowlanych.</w:t>
      </w:r>
    </w:p>
    <w:p w14:paraId="05372FB0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W toku realizacji inwestycji w 2019 r. Muzeum złożyło zapotrzebowanie w wysokości 32.893.817,00 zł, w takiej też wysokości został ustalony plan wydatków inwestycyjnych Muzeum na 2019 r., w szczególności na:</w:t>
      </w:r>
    </w:p>
    <w:p w14:paraId="312D1E8C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lastRenderedPageBreak/>
        <w:t>a) prace przygotowawcze związane z przygotowaniem placu budowy - palowanie (posadowienie pośrednie), w tym projekt wykonawczy palowania;</w:t>
      </w:r>
    </w:p>
    <w:p w14:paraId="2AF9AFC3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b) prace przygotowawcze związane z przygotowaniem budowy części naziemnych - stan "0" (fundamenty, płyty fundamentowe, stropy, warstwy </w:t>
      </w:r>
      <w:proofErr w:type="spellStart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podposadzkowe</w:t>
      </w:r>
      <w:proofErr w:type="spellEnd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parteru);</w:t>
      </w:r>
    </w:p>
    <w:p w14:paraId="47D88995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c) opracowanie projektu wykonawczego (projekt wielobranżowy bez aranżacji wnętrz);</w:t>
      </w:r>
    </w:p>
    <w:p w14:paraId="5922E661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d) wykonanie robót budowlanych (stan surowy otwarty).</w:t>
      </w:r>
    </w:p>
    <w:p w14:paraId="2AECFB7E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W I półroczu 2020 roku faktury opłacone przez Muzeum opiewały na 11.136 tys. zł. Łączne planowane wykonanie do końca roku 2020 wg szacunków Muzeum wyniesie 49.633.501,00 zł.</w:t>
      </w:r>
    </w:p>
    <w:p w14:paraId="6078EBF6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Na podstawie decyzji Ministra Kultury i Dziedzictwa Narodowego z dnia 10 sierpnia 2020 r., w planie wydatków inwestycyjnych na rok 2020, została zwiększona dotacja celowa na wydatki związane z realizowaną inwestycją o kwotę 1.866.800 zł. Zwiększenie wynikało z konieczności sfinansowania budowy przyłącza ciepłowniczego, którego koszt przekraczał założenia Wykonawcy dokonane Cenie Ofertowej.</w:t>
      </w:r>
    </w:p>
    <w:p w14:paraId="1A011862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Wniosek Muzeum przekłada się na wzrost dotacji </w:t>
      </w:r>
      <w:proofErr w:type="spellStart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MKiDN</w:t>
      </w:r>
      <w:proofErr w:type="spellEnd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przewidzianej na ww. zadanie w latach 2019-2021 z kwoty 117.700.000 zł do 119.566.800 zł, w tym w 2020 r. z 47.766.701 zł do 49.633.501 zł. Jednocześnie następuje wzrost wartości kosztorysowej inwestycji ze 144.891.000 zł brutto do 147.187.164 zł brutto. Planowane nakłady na rok 2021 wg ostatnich szacunków wynoszą 37.039.482 zł</w:t>
      </w:r>
    </w:p>
    <w:p w14:paraId="37111D2D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Minister nie przekazuje ani dotacji podmiotowej ani przedmiotowej dla </w:t>
      </w:r>
      <w:proofErr w:type="spellStart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MPiT</w:t>
      </w:r>
      <w:proofErr w:type="spellEnd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ale finansuje inwestycję budowy Muzeum.</w:t>
      </w:r>
    </w:p>
    <w:p w14:paraId="26991C51" w14:textId="77777777" w:rsidR="001C7EED" w:rsidRPr="00103DFD" w:rsidRDefault="001C7EED" w:rsidP="001C7E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Ad 3.</w:t>
      </w:r>
    </w:p>
    <w:p w14:paraId="5AE02884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Zgodnie z art. 8 ust. 1 ustawy z dnia 21 listopada 1996 r. o muzeach (Dz. U. z 2020 r. poz. 902) minister właściwy do spraw kultury i ochrony dziedzictwa narodowego sprawuje nadzór nad muzeami. W tym celu może dokonywać kontroli ich działalności. W tym zakresie obowiązki Ministra realizuje Departament Dziedzictwa Kulturowego. Jednocześnie uprzejmie informuję, że zgodnie z art. 17 ustawy o organizowaniu i prowadzeniu działalności kulturalnej to dyrektor instytucji kultury zarządza instytucją i reprezentuje ją na zewnątrz. Minister nie ingeruje w sposób zarządzania instytucją kultury przez dyrektora.</w:t>
      </w:r>
    </w:p>
    <w:p w14:paraId="647F28AB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Jednocześnie informuję, że plan działalności Muzeum ,,Pamięć i Tożsamość” im. św. Jana Pawła II w pierwszych latach działalności zawarty jest w Programie działania ,,Muzeum Pamięć i Tożsamość” im. św. Jana Pawła II (w organizacji) na lata 2019-20022, który dostępny jest w Biuletynie Informacji Publicznej Ministerstwa Kultury i Dziedzictwa Narodowego pod adresem:</w:t>
      </w:r>
    </w:p>
    <w:p w14:paraId="7D48045B" w14:textId="77777777" w:rsidR="001C7EED" w:rsidRPr="00103DFD" w:rsidRDefault="001C7EED" w:rsidP="001C7E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hyperlink r:id="rId4" w:history="1">
        <w:r w:rsidRPr="00103DFD">
          <w:rPr>
            <w:rFonts w:ascii="inherit" w:eastAsia="Times New Roman" w:hAnsi="inherit" w:cs="Tahoma"/>
            <w:color w:val="2E5785"/>
            <w:sz w:val="17"/>
            <w:szCs w:val="17"/>
            <w:u w:val="single"/>
            <w:lang w:eastAsia="pl-PL"/>
          </w:rPr>
          <w:t>http://bip.mkidn.gov.pl/media/docs/ogloszenia/2019/20190705_Program_Dzialania_Muzeum__Pamiec_i_Tozsamosc__im._sw._Jana_Pawla_II__(w_organizacji)_na_lata_2019-2022_.pdf</w:t>
        </w:r>
      </w:hyperlink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.</w:t>
      </w:r>
    </w:p>
    <w:p w14:paraId="4EDC07E6" w14:textId="77777777" w:rsidR="001C7EED" w:rsidRPr="00103DFD" w:rsidRDefault="001C7EED" w:rsidP="001C7E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Ad 4.</w:t>
      </w:r>
    </w:p>
    <w:p w14:paraId="6A27F1AC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Odpowiedzialność za organizowanie ekspozycji Muzeum ,,Pamięć i Tożsamość” im. św. Jana Pawła II (w organizacji) spoczywa na dyrektorze Muzeum.</w:t>
      </w:r>
    </w:p>
    <w:p w14:paraId="196F3BA3" w14:textId="77777777" w:rsidR="001C7EED" w:rsidRPr="00103DFD" w:rsidRDefault="001C7EED" w:rsidP="001C7E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Ad 5.</w:t>
      </w:r>
    </w:p>
    <w:p w14:paraId="5B4FA21F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Odpowiedzi udzielono powyżej</w:t>
      </w:r>
    </w:p>
    <w:p w14:paraId="190B6B29" w14:textId="77777777" w:rsidR="001C7EED" w:rsidRPr="00103DFD" w:rsidRDefault="001C7EED" w:rsidP="001C7E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Ad 6.</w:t>
      </w:r>
    </w:p>
    <w:p w14:paraId="661ACCF3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Z informacji zawartych w Programie działania Muzeum ,,Pamięć i Tożsamość” im. św. Jana Pawła II (w organizacji) wynika, że inwestycja o nazwie ,,Budowa zespołu zabudowy muzealno-audytoryjnej i naukowo twórczej na terenie przy ul. Droga </w:t>
      </w:r>
      <w:proofErr w:type="spellStart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Starotoruńska</w:t>
      </w:r>
      <w:proofErr w:type="spellEnd"/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1 w Toruniu” obejmuje budowę budynku użyteczności publicznej – zespołu zabudowy muzealno-audytoryjnej i naukowo-twórczej. Zakres całego zamierzenia zakłada ponadto realizację zagospodarowania terenu wokół budynku wraz z przynależnymi: drogami wewnętrznymi, parkingami, chodnikami, elementami małej architektury i zieleni oraz infrastrukturą techniczną (instalacje wewnętrzne, uzbrojenia terenu: kanalizacja sanitarna, kanalizacja deszczowa, instalacje elektryczne, instalacje teletechniczne, instalacje oświetlenia zewnętrznego). Obiekt będzie też pełnił funkcje użyteczności publicznej: kultury, nauki i oświaty. Kluczowa będzie przestrzeń ekspozycji muzealnej oraz sala audytoryjna na ok. 800 osób i mniejsza sala wielofunkcyjna na około 110 osób. Jako funkcje uzupełniające zaplanowano w budynku: hall wejściowy z recepcją, szatnie, punkt gastronomiczny. Zaplanowano również niezbędne zaplecze administracyjne, socjalne personelu i techniczne.</w:t>
      </w:r>
    </w:p>
    <w:p w14:paraId="2D3563F0" w14:textId="77777777" w:rsidR="001C7EED" w:rsidRPr="00103DFD" w:rsidRDefault="001C7EED" w:rsidP="001C7E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Powierzchnia terenu inwestycji wynosi 21.017 m</w:t>
      </w:r>
      <w:r w:rsidRPr="00103DFD">
        <w:rPr>
          <w:rFonts w:ascii="inherit" w:eastAsia="Times New Roman" w:hAnsi="inherit" w:cs="Tahoma"/>
          <w:color w:val="3A3A3A"/>
          <w:sz w:val="13"/>
          <w:szCs w:val="13"/>
          <w:vertAlign w:val="superscript"/>
          <w:lang w:eastAsia="pl-PL"/>
        </w:rPr>
        <w:t>2</w:t>
      </w: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w tym powierzchnia terenu w obrębie projektowanego budynku - 16.992 m</w:t>
      </w:r>
      <w:r w:rsidRPr="00103DFD">
        <w:rPr>
          <w:rFonts w:ascii="inherit" w:eastAsia="Times New Roman" w:hAnsi="inherit" w:cs="Tahoma"/>
          <w:color w:val="3A3A3A"/>
          <w:sz w:val="13"/>
          <w:szCs w:val="13"/>
          <w:vertAlign w:val="superscript"/>
          <w:lang w:eastAsia="pl-PL"/>
        </w:rPr>
        <w:t>2</w:t>
      </w: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. Powierzchnia zabudowy wynosi 5.011,8 m</w:t>
      </w:r>
      <w:r w:rsidRPr="00103DFD">
        <w:rPr>
          <w:rFonts w:ascii="inherit" w:eastAsia="Times New Roman" w:hAnsi="inherit" w:cs="Tahoma"/>
          <w:color w:val="3A3A3A"/>
          <w:sz w:val="13"/>
          <w:szCs w:val="13"/>
          <w:vertAlign w:val="superscript"/>
          <w:lang w:eastAsia="pl-PL"/>
        </w:rPr>
        <w:t>2</w:t>
      </w: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. Suma powierzchni budynku wynosi 11.016,38 m</w:t>
      </w:r>
      <w:r w:rsidRPr="00103DFD">
        <w:rPr>
          <w:rFonts w:ascii="inherit" w:eastAsia="Times New Roman" w:hAnsi="inherit" w:cs="Tahoma"/>
          <w:color w:val="3A3A3A"/>
          <w:sz w:val="13"/>
          <w:szCs w:val="13"/>
          <w:vertAlign w:val="superscript"/>
          <w:lang w:eastAsia="pl-PL"/>
        </w:rPr>
        <w:t>2</w:t>
      </w: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w tym powierzchnia użytkowa 7.926,58 m</w:t>
      </w:r>
      <w:r w:rsidRPr="00103DFD">
        <w:rPr>
          <w:rFonts w:ascii="inherit" w:eastAsia="Times New Roman" w:hAnsi="inherit" w:cs="Tahoma"/>
          <w:color w:val="3A3A3A"/>
          <w:sz w:val="13"/>
          <w:szCs w:val="13"/>
          <w:vertAlign w:val="superscript"/>
          <w:lang w:eastAsia="pl-PL"/>
        </w:rPr>
        <w:t>2</w:t>
      </w: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powierzchnia usługowa 477,28 m</w:t>
      </w:r>
      <w:r w:rsidRPr="00103DFD">
        <w:rPr>
          <w:rFonts w:ascii="inherit" w:eastAsia="Times New Roman" w:hAnsi="inherit" w:cs="Tahoma"/>
          <w:color w:val="3A3A3A"/>
          <w:sz w:val="13"/>
          <w:szCs w:val="13"/>
          <w:vertAlign w:val="superscript"/>
          <w:lang w:eastAsia="pl-PL"/>
        </w:rPr>
        <w:t>2</w:t>
      </w: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a powierzchnia ruchu 2.612,52 m</w:t>
      </w:r>
      <w:r w:rsidRPr="00103DFD">
        <w:rPr>
          <w:rFonts w:ascii="inherit" w:eastAsia="Times New Roman" w:hAnsi="inherit" w:cs="Tahoma"/>
          <w:color w:val="3A3A3A"/>
          <w:sz w:val="13"/>
          <w:szCs w:val="13"/>
          <w:vertAlign w:val="superscript"/>
          <w:lang w:eastAsia="pl-PL"/>
        </w:rPr>
        <w:t>2</w:t>
      </w: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.</w:t>
      </w:r>
    </w:p>
    <w:p w14:paraId="7447C9F9" w14:textId="77777777" w:rsidR="001C7EED" w:rsidRPr="00103DFD" w:rsidRDefault="001C7EED" w:rsidP="001C7E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Przestrzeń ekspozycji muzealnej zorganizowano na poziomie parteru i drugiego piętra budynku. Powierzchnia użytkowa przestrzeni muzealnej wynosi 2.662,4 m</w:t>
      </w:r>
      <w:r w:rsidRPr="00103DFD">
        <w:rPr>
          <w:rFonts w:ascii="inherit" w:eastAsia="Times New Roman" w:hAnsi="inherit" w:cs="Tahoma"/>
          <w:color w:val="3A3A3A"/>
          <w:sz w:val="13"/>
          <w:szCs w:val="13"/>
          <w:vertAlign w:val="superscript"/>
          <w:lang w:eastAsia="pl-PL"/>
        </w:rPr>
        <w:t>2</w:t>
      </w: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.</w:t>
      </w:r>
    </w:p>
    <w:p w14:paraId="011C42DB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Sala audytoryjna zaprojektowana jest na planie wachlarza, liczba miejsc na widowni to 814. Funkcje sali: audytoryjna, koncertowa, teatralna.</w:t>
      </w:r>
    </w:p>
    <w:p w14:paraId="343D8687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Mniejsza sala audytoryjna zaprojektowana jest na planie trapezu (liczba miejsc na widowni 110).</w:t>
      </w:r>
    </w:p>
    <w:p w14:paraId="375EC103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W celu uzyskania innych, szczegółowych informacji w tym zakresie należy zwrócić się do Muzeum.</w:t>
      </w:r>
    </w:p>
    <w:p w14:paraId="491F5882" w14:textId="77777777" w:rsidR="001C7EED" w:rsidRPr="00103DFD" w:rsidRDefault="001C7EED" w:rsidP="001C7E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Ad 7.</w:t>
      </w:r>
    </w:p>
    <w:p w14:paraId="52934F3D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Budżet dotacji inwestycyjnej na budowę siedziby Muzeum w roku 2020 wg planu po zmianach zgodnie z decyzją Ministra Kultury i Dziedzictwa Narodowego z dnia 10 sierpnia 2020 r. wynosi 49.633.501,00 zł.</w:t>
      </w:r>
    </w:p>
    <w:p w14:paraId="7853B318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Przychody Muzeum zgodnie z przedłożonym sprawozdaniem z wykonania planu finansowego są następujące:</w:t>
      </w:r>
    </w:p>
    <w:p w14:paraId="3E0A9B0D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Przychody ogółem za okres od 01.01.2020 do 30.06.2020 – 23 000,00 zł, w tym:</w:t>
      </w:r>
    </w:p>
    <w:p w14:paraId="37EB1AF7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- Sprzedaż usług - 5 000,00 zł,</w:t>
      </w:r>
    </w:p>
    <w:p w14:paraId="51763605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- inne (dotacja od współorganizatora) - 18 000,00 zł.</w:t>
      </w:r>
    </w:p>
    <w:p w14:paraId="3F0331D0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Nadzorowi podlega dotacja inwestycyjna udzielona z budżetu Ministra, której wielkość i przeznaczenie w poszczególnych latach już opisano powyżej.</w:t>
      </w:r>
    </w:p>
    <w:p w14:paraId="789AC3CA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Finansowanie Ministra skupia się na dofinansowaniu inwestycji i nie obejmuje finansowania kadry zarządzającej ani pracowników realizujących działalność statutową.</w:t>
      </w:r>
    </w:p>
    <w:p w14:paraId="6456044E" w14:textId="77777777" w:rsidR="001C7EED" w:rsidRPr="00103DFD" w:rsidRDefault="001C7EED" w:rsidP="001C7EE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03DFD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Z poważaniem</w:t>
      </w:r>
    </w:p>
    <w:p w14:paraId="21DFF3EB" w14:textId="77777777" w:rsidR="000C4A84" w:rsidRDefault="000C4A84"/>
    <w:sectPr w:rsidR="000C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ED"/>
    <w:rsid w:val="000078E6"/>
    <w:rsid w:val="000C4A84"/>
    <w:rsid w:val="001C7EED"/>
    <w:rsid w:val="00220A0F"/>
    <w:rsid w:val="00225486"/>
    <w:rsid w:val="0030190E"/>
    <w:rsid w:val="004C7A14"/>
    <w:rsid w:val="00712362"/>
    <w:rsid w:val="00DC00B8"/>
    <w:rsid w:val="00EB1605"/>
    <w:rsid w:val="00F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0CBE"/>
  <w15:chartTrackingRefBased/>
  <w15:docId w15:val="{CEA54037-5809-4F79-B028-02A6E1EB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mkidn.gov.pl/media/docs/ogloszenia/2019/20190705_Program_Dzialania_Muzeum__Pamiec_i_Tozsamosc__im._sw._Jana_Pawla_II__(w_organizacji)_na_lata_2019-2022_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1</cp:revision>
  <dcterms:created xsi:type="dcterms:W3CDTF">2021-03-31T03:36:00Z</dcterms:created>
  <dcterms:modified xsi:type="dcterms:W3CDTF">2021-03-31T03:37:00Z</dcterms:modified>
</cp:coreProperties>
</file>